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before="0" w:beforeAutospacing="0" w:afterAutospacing="0" w:line="540" w:lineRule="exact"/>
        <w:jc w:val="left"/>
        <w:textAlignment w:val="auto"/>
        <w:rPr>
          <w:rFonts w:hint="default" w:ascii="Times New Roman" w:hAnsi="Times New Roman" w:eastAsia="方正黑体简体" w:cs="Times New Roman"/>
          <w:b/>
          <w:bCs w:val="0"/>
          <w:sz w:val="32"/>
          <w:szCs w:val="32"/>
          <w:lang w:val="en-US" w:eastAsia="zh-CN"/>
        </w:rPr>
      </w:pPr>
      <w:bookmarkStart w:id="0" w:name="_GoBack"/>
      <w:r>
        <w:rPr>
          <w:rFonts w:hint="default" w:ascii="Times New Roman" w:hAnsi="Times New Roman" w:eastAsia="方正黑体简体" w:cs="Times New Roman"/>
          <w:b/>
          <w:bCs w:val="0"/>
          <w:sz w:val="32"/>
          <w:szCs w:val="32"/>
          <w:lang w:val="en-US" w:eastAsia="zh-CN"/>
        </w:rPr>
        <w:t>附件1</w:t>
      </w:r>
    </w:p>
    <w:bookmarkEnd w:id="0"/>
    <w:p>
      <w:pPr>
        <w:rPr>
          <w:rFonts w:hint="eastAsia"/>
          <w:lang w:val="en-US" w:eastAsia="zh-CN"/>
        </w:rPr>
      </w:pPr>
    </w:p>
    <w:p>
      <w:pPr>
        <w:pStyle w:val="2"/>
        <w:keepNext w:val="0"/>
        <w:keepLines w:val="0"/>
        <w:pageBreakBefore w:val="0"/>
        <w:widowControl w:val="0"/>
        <w:kinsoku/>
        <w:wordWrap/>
        <w:overflowPunct/>
        <w:topLinePunct w:val="0"/>
        <w:autoSpaceDE/>
        <w:autoSpaceDN/>
        <w:bidi w:val="0"/>
        <w:adjustRightInd/>
        <w:snapToGrid/>
        <w:spacing w:before="0" w:beforeAutospacing="0" w:afterAutospacing="0" w:line="540" w:lineRule="exact"/>
        <w:jc w:val="center"/>
        <w:textAlignment w:val="auto"/>
        <w:rPr>
          <w:rFonts w:hint="eastAsia" w:ascii="方正小标宋简体" w:hAnsi="方正小标宋简体" w:eastAsia="方正小标宋简体" w:cs="方正小标宋简体"/>
          <w:b/>
          <w:bCs w:val="0"/>
          <w:sz w:val="44"/>
          <w:szCs w:val="44"/>
          <w:lang w:val="en-US" w:eastAsia="zh-CN"/>
        </w:rPr>
      </w:pPr>
      <w:r>
        <w:rPr>
          <w:rFonts w:hint="eastAsia" w:ascii="方正小标宋简体" w:hAnsi="方正小标宋简体" w:eastAsia="方正小标宋简体" w:cs="方正小标宋简体"/>
          <w:b/>
          <w:bCs w:val="0"/>
          <w:sz w:val="44"/>
          <w:szCs w:val="44"/>
          <w:lang w:val="en-US" w:eastAsia="zh-CN"/>
        </w:rPr>
        <w:t>济宁市级政府食盐储备管理办法</w:t>
      </w:r>
    </w:p>
    <w:p>
      <w:pPr>
        <w:keepNext w:val="0"/>
        <w:keepLines w:val="0"/>
        <w:pageBreakBefore w:val="0"/>
        <w:kinsoku/>
        <w:wordWrap/>
        <w:overflowPunct/>
        <w:topLinePunct w:val="0"/>
        <w:autoSpaceDE/>
        <w:autoSpaceDN/>
        <w:bidi w:val="0"/>
        <w:adjustRightInd/>
        <w:snapToGrid/>
        <w:spacing w:line="540" w:lineRule="exact"/>
        <w:jc w:val="center"/>
        <w:textAlignment w:val="auto"/>
        <w:rPr>
          <w:rFonts w:hint="eastAsia" w:ascii="方正楷体简体" w:hAnsi="方正楷体简体" w:eastAsia="方正楷体简体" w:cs="方正楷体简体"/>
          <w:sz w:val="32"/>
          <w:szCs w:val="32"/>
          <w:lang w:val="en-US" w:eastAsia="zh-CN"/>
        </w:rPr>
      </w:pPr>
      <w:r>
        <w:rPr>
          <w:rFonts w:hint="eastAsia" w:ascii="方正楷体简体" w:hAnsi="方正楷体简体" w:eastAsia="方正楷体简体" w:cs="方正楷体简体"/>
          <w:b/>
          <w:bCs w:val="0"/>
          <w:sz w:val="32"/>
          <w:szCs w:val="32"/>
          <w:lang w:val="en-US" w:eastAsia="zh-CN"/>
        </w:rPr>
        <w:t>（征求意见稿）</w:t>
      </w: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sz w:val="32"/>
          <w:szCs w:val="32"/>
          <w:lang w:val="en-US" w:eastAsia="zh-CN"/>
        </w:rPr>
      </w:pP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 xml:space="preserve">第一章 </w:t>
      </w:r>
      <w:r>
        <w:rPr>
          <w:rFonts w:hint="eastAsia" w:ascii="Times New Roman" w:hAnsi="Times New Roman" w:eastAsia="黑体" w:cs="Times New Roman"/>
          <w:b/>
          <w:bCs/>
          <w:sz w:val="32"/>
          <w:szCs w:val="32"/>
          <w:lang w:val="en-US" w:eastAsia="zh-CN"/>
        </w:rPr>
        <w:t xml:space="preserve"> </w:t>
      </w:r>
      <w:r>
        <w:rPr>
          <w:rFonts w:hint="default" w:ascii="Times New Roman" w:hAnsi="Times New Roman" w:eastAsia="黑体" w:cs="Times New Roman"/>
          <w:b/>
          <w:bCs/>
          <w:sz w:val="32"/>
          <w:szCs w:val="32"/>
          <w:lang w:val="en-US" w:eastAsia="zh-CN"/>
        </w:rPr>
        <w:t xml:space="preserve">总 </w:t>
      </w:r>
      <w:r>
        <w:rPr>
          <w:rFonts w:hint="eastAsia" w:ascii="Times New Roman" w:hAnsi="Times New Roman" w:eastAsia="黑体" w:cs="Times New Roman"/>
          <w:b/>
          <w:bCs/>
          <w:sz w:val="32"/>
          <w:szCs w:val="32"/>
          <w:lang w:val="en-US" w:eastAsia="zh-CN"/>
        </w:rPr>
        <w:t xml:space="preserve"> </w:t>
      </w:r>
      <w:r>
        <w:rPr>
          <w:rFonts w:hint="default" w:ascii="Times New Roman" w:hAnsi="Times New Roman" w:eastAsia="黑体" w:cs="Times New Roman"/>
          <w:b/>
          <w:bCs/>
          <w:sz w:val="32"/>
          <w:szCs w:val="32"/>
          <w:lang w:val="en-US" w:eastAsia="zh-CN"/>
        </w:rPr>
        <w:t>则</w:t>
      </w:r>
    </w:p>
    <w:p>
      <w:pPr>
        <w:keepNext w:val="0"/>
        <w:keepLines w:val="0"/>
        <w:pageBreakBefore w:val="0"/>
        <w:kinsoku/>
        <w:wordWrap/>
        <w:overflowPunct/>
        <w:topLinePunct w:val="0"/>
        <w:autoSpaceDE/>
        <w:autoSpaceDN/>
        <w:bidi w:val="0"/>
        <w:adjustRightInd/>
        <w:snapToGrid/>
        <w:spacing w:line="540" w:lineRule="exact"/>
        <w:textAlignment w:val="auto"/>
        <w:rPr>
          <w:rFonts w:hint="default"/>
          <w:lang w:val="en-US" w:eastAsia="zh-CN"/>
        </w:rPr>
      </w:pP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ind w:leftChars="0" w:firstLine="643" w:firstLineChars="200"/>
        <w:jc w:val="both"/>
        <w:textAlignment w:val="auto"/>
        <w:outlineLvl w:val="0"/>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第一条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为应对重大自然灾害和突发公共事件，规范和加强市级</w:t>
      </w:r>
      <w:r>
        <w:rPr>
          <w:rFonts w:hint="eastAsia" w:ascii="Times New Roman" w:hAnsi="Times New Roman" w:eastAsia="方正仿宋简体" w:cs="Times New Roman"/>
          <w:b/>
          <w:bCs/>
          <w:sz w:val="32"/>
          <w:szCs w:val="32"/>
          <w:lang w:val="en-US" w:eastAsia="zh-CN"/>
        </w:rPr>
        <w:t>政府</w:t>
      </w:r>
      <w:r>
        <w:rPr>
          <w:rFonts w:hint="default" w:ascii="Times New Roman" w:hAnsi="Times New Roman" w:eastAsia="方正仿宋简体" w:cs="Times New Roman"/>
          <w:b/>
          <w:bCs/>
          <w:sz w:val="32"/>
          <w:szCs w:val="32"/>
          <w:lang w:val="en-US" w:eastAsia="zh-CN"/>
        </w:rPr>
        <w:t>食盐储备管理，维护食盐市场安全和稳定供应，根据《山东省级</w:t>
      </w:r>
      <w:r>
        <w:rPr>
          <w:rFonts w:hint="eastAsia" w:ascii="Times New Roman" w:hAnsi="Times New Roman" w:eastAsia="方正仿宋简体" w:cs="Times New Roman"/>
          <w:b/>
          <w:bCs/>
          <w:sz w:val="32"/>
          <w:szCs w:val="32"/>
          <w:lang w:val="en-US" w:eastAsia="zh-CN"/>
        </w:rPr>
        <w:t>政府</w:t>
      </w:r>
      <w:r>
        <w:rPr>
          <w:rFonts w:hint="default" w:ascii="Times New Roman" w:hAnsi="Times New Roman" w:eastAsia="方正仿宋简体" w:cs="Times New Roman"/>
          <w:b/>
          <w:bCs/>
          <w:sz w:val="32"/>
          <w:szCs w:val="32"/>
          <w:lang w:val="en-US" w:eastAsia="zh-CN"/>
        </w:rPr>
        <w:t>食盐储备管理办法》（鲁工信消〔202</w:t>
      </w:r>
      <w:r>
        <w:rPr>
          <w:rFonts w:hint="eastAsia" w:ascii="Times New Roman" w:hAnsi="Times New Roman" w:eastAsia="方正仿宋简体" w:cs="Times New Roman"/>
          <w:b/>
          <w:bCs/>
          <w:sz w:val="32"/>
          <w:szCs w:val="32"/>
          <w:lang w:val="en-US" w:eastAsia="zh-CN"/>
        </w:rPr>
        <w:t>6</w:t>
      </w:r>
      <w:r>
        <w:rPr>
          <w:rFonts w:hint="default" w:ascii="Times New Roman" w:hAnsi="Times New Roman" w:eastAsia="方正仿宋简体" w:cs="Times New Roman"/>
          <w:b/>
          <w:bCs/>
          <w:sz w:val="32"/>
          <w:szCs w:val="32"/>
          <w:lang w:val="en-US" w:eastAsia="zh-CN"/>
        </w:rPr>
        <w:t>〕10</w:t>
      </w:r>
      <w:r>
        <w:rPr>
          <w:rFonts w:hint="eastAsia" w:ascii="Times New Roman" w:hAnsi="Times New Roman" w:eastAsia="方正仿宋简体" w:cs="Times New Roman"/>
          <w:b/>
          <w:bCs/>
          <w:sz w:val="32"/>
          <w:szCs w:val="32"/>
          <w:lang w:val="en-US" w:eastAsia="zh-CN"/>
        </w:rPr>
        <w:t>5</w:t>
      </w:r>
      <w:r>
        <w:rPr>
          <w:rFonts w:hint="default" w:ascii="Times New Roman" w:hAnsi="Times New Roman" w:eastAsia="方正仿宋简体" w:cs="Times New Roman"/>
          <w:b/>
          <w:bCs/>
          <w:sz w:val="32"/>
          <w:szCs w:val="32"/>
          <w:lang w:val="en-US" w:eastAsia="zh-CN"/>
        </w:rPr>
        <w:t>号）和《济宁市人民政府关于印发济宁市盐业体制改革实施方案和济宁市食盐监管体制改革方案的通知》（济政发〔2017〕23号）有关政府食盐储备制度的要求，结合我市实际，制定本办法。</w:t>
      </w:r>
    </w:p>
    <w:p>
      <w:pPr>
        <w:keepNext w:val="0"/>
        <w:keepLines w:val="0"/>
        <w:pageBreakBefore w:val="0"/>
        <w:shd w:val="clear"/>
        <w:tabs>
          <w:tab w:val="left" w:pos="2536"/>
        </w:tabs>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kern w:val="44"/>
          <w:sz w:val="32"/>
          <w:szCs w:val="32"/>
          <w:lang w:val="en-US" w:eastAsia="zh-CN" w:bidi="ar"/>
        </w:rPr>
        <w:t>第二条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本办法所称市级</w:t>
      </w:r>
      <w:r>
        <w:rPr>
          <w:rFonts w:hint="eastAsia" w:ascii="Times New Roman" w:hAnsi="Times New Roman" w:eastAsia="方正仿宋简体" w:cs="Times New Roman"/>
          <w:b/>
          <w:bCs/>
          <w:sz w:val="32"/>
          <w:szCs w:val="32"/>
          <w:lang w:val="en-US" w:eastAsia="zh-CN"/>
        </w:rPr>
        <w:t>政府</w:t>
      </w:r>
      <w:r>
        <w:rPr>
          <w:rFonts w:hint="default" w:ascii="Times New Roman" w:hAnsi="Times New Roman" w:eastAsia="方正仿宋简体" w:cs="Times New Roman"/>
          <w:b/>
          <w:bCs/>
          <w:sz w:val="32"/>
          <w:szCs w:val="32"/>
          <w:lang w:val="en-US" w:eastAsia="zh-CN"/>
        </w:rPr>
        <w:t>食盐储备，是指市</w:t>
      </w:r>
      <w:r>
        <w:rPr>
          <w:rFonts w:hint="eastAsia" w:ascii="Times New Roman" w:hAnsi="Times New Roman" w:eastAsia="方正仿宋简体" w:cs="Times New Roman"/>
          <w:b/>
          <w:bCs/>
          <w:sz w:val="32"/>
          <w:szCs w:val="32"/>
          <w:lang w:val="en-US" w:eastAsia="zh-CN"/>
        </w:rPr>
        <w:t>人民</w:t>
      </w:r>
      <w:r>
        <w:rPr>
          <w:rFonts w:hint="default" w:ascii="Times New Roman" w:hAnsi="Times New Roman" w:eastAsia="方正仿宋简体" w:cs="Times New Roman"/>
          <w:b/>
          <w:bCs/>
          <w:sz w:val="32"/>
          <w:szCs w:val="32"/>
          <w:lang w:val="en-US" w:eastAsia="zh-CN"/>
        </w:rPr>
        <w:t>政府储备的用于调控市内食盐市场，应对重特大灾情疫情、突发事件和食盐市场异常</w:t>
      </w:r>
      <w:r>
        <w:rPr>
          <w:rFonts w:hint="eastAsia" w:ascii="Times New Roman" w:hAnsi="Times New Roman" w:eastAsia="方正仿宋简体" w:cs="Times New Roman"/>
          <w:b/>
          <w:bCs/>
          <w:sz w:val="32"/>
          <w:szCs w:val="32"/>
          <w:lang w:val="en-US" w:eastAsia="zh-CN"/>
        </w:rPr>
        <w:t>波动</w:t>
      </w:r>
      <w:r>
        <w:rPr>
          <w:rFonts w:hint="default" w:ascii="Times New Roman" w:hAnsi="Times New Roman" w:eastAsia="方正仿宋简体" w:cs="Times New Roman"/>
          <w:b/>
          <w:bCs/>
          <w:sz w:val="32"/>
          <w:szCs w:val="32"/>
          <w:lang w:val="en-US" w:eastAsia="zh-CN"/>
        </w:rPr>
        <w:t>，以及市</w:t>
      </w:r>
      <w:r>
        <w:rPr>
          <w:rFonts w:hint="eastAsia" w:ascii="Times New Roman" w:hAnsi="Times New Roman" w:eastAsia="方正仿宋简体" w:cs="Times New Roman"/>
          <w:b/>
          <w:bCs/>
          <w:sz w:val="32"/>
          <w:szCs w:val="32"/>
          <w:lang w:val="en-US" w:eastAsia="zh-CN"/>
        </w:rPr>
        <w:t>人民</w:t>
      </w:r>
      <w:r>
        <w:rPr>
          <w:rFonts w:hint="default" w:ascii="Times New Roman" w:hAnsi="Times New Roman" w:eastAsia="方正仿宋简体" w:cs="Times New Roman"/>
          <w:b/>
          <w:bCs/>
          <w:sz w:val="32"/>
          <w:szCs w:val="32"/>
          <w:lang w:val="en-US" w:eastAsia="zh-CN"/>
        </w:rPr>
        <w:t>政府确定的其他特定用途，确保特殊时期食盐市场供应，质量符合国家标准要求的500克（500克以下规格）小包装食用盐，其中加碘盐</w:t>
      </w:r>
      <w:r>
        <w:rPr>
          <w:rFonts w:hint="eastAsia" w:ascii="Times New Roman" w:hAnsi="Times New Roman" w:eastAsia="方正仿宋简体" w:cs="Times New Roman"/>
          <w:b/>
          <w:bCs/>
          <w:sz w:val="32"/>
          <w:szCs w:val="32"/>
          <w:lang w:val="en-US" w:eastAsia="zh-CN"/>
        </w:rPr>
        <w:t>须</w:t>
      </w:r>
      <w:r>
        <w:rPr>
          <w:rFonts w:hint="default" w:ascii="Times New Roman" w:hAnsi="Times New Roman" w:eastAsia="方正仿宋简体" w:cs="Times New Roman"/>
          <w:b/>
          <w:bCs/>
          <w:sz w:val="32"/>
          <w:szCs w:val="32"/>
          <w:lang w:val="en-US" w:eastAsia="zh-CN"/>
        </w:rPr>
        <w:t>符合我省</w:t>
      </w:r>
      <w:r>
        <w:rPr>
          <w:rFonts w:hint="eastAsia" w:ascii="Times New Roman" w:hAnsi="Times New Roman" w:eastAsia="方正仿宋简体" w:cs="Times New Roman"/>
          <w:b/>
          <w:bCs/>
          <w:sz w:val="32"/>
          <w:szCs w:val="32"/>
          <w:lang w:val="en-US" w:eastAsia="zh-CN"/>
        </w:rPr>
        <w:t>食用盐碘含量标准</w:t>
      </w:r>
      <w:r>
        <w:rPr>
          <w:rFonts w:hint="default" w:ascii="Times New Roman" w:hAnsi="Times New Roman" w:eastAsia="方正仿宋简体" w:cs="Times New Roman"/>
          <w:b/>
          <w:bCs/>
          <w:sz w:val="32"/>
          <w:szCs w:val="32"/>
          <w:lang w:val="en-US" w:eastAsia="zh-CN"/>
        </w:rPr>
        <w:t>。食盐定点生产（批发）企业最低库存、最高库存和企业社会责任储备按国家相关规定执行。</w:t>
      </w:r>
    </w:p>
    <w:p>
      <w:pPr>
        <w:keepNext w:val="0"/>
        <w:keepLines w:val="0"/>
        <w:pageBreakBefore w:val="0"/>
        <w:shd w:val="clear"/>
        <w:tabs>
          <w:tab w:val="left" w:pos="2536"/>
        </w:tabs>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kern w:val="44"/>
          <w:sz w:val="32"/>
          <w:szCs w:val="32"/>
          <w:lang w:val="en-US" w:eastAsia="zh-CN" w:bidi="ar"/>
        </w:rPr>
        <w:t>第三条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市级</w:t>
      </w:r>
      <w:r>
        <w:rPr>
          <w:rFonts w:hint="eastAsia" w:ascii="Times New Roman" w:hAnsi="Times New Roman" w:eastAsia="方正仿宋简体" w:cs="Times New Roman"/>
          <w:b/>
          <w:bCs/>
          <w:sz w:val="32"/>
          <w:szCs w:val="32"/>
          <w:lang w:val="en-US" w:eastAsia="zh-CN"/>
        </w:rPr>
        <w:t>政府</w:t>
      </w:r>
      <w:r>
        <w:rPr>
          <w:rFonts w:hint="default" w:ascii="Times New Roman" w:hAnsi="Times New Roman" w:eastAsia="方正仿宋简体" w:cs="Times New Roman"/>
          <w:b/>
          <w:bCs/>
          <w:sz w:val="32"/>
          <w:szCs w:val="32"/>
          <w:lang w:val="en-US" w:eastAsia="zh-CN"/>
        </w:rPr>
        <w:t>食盐储备遵循“政府牵总、企业承储、财政补贴、费用包干”的原则，采取“滚动储备，定期轮换”的商业化管理模式。</w:t>
      </w:r>
    </w:p>
    <w:p>
      <w:pPr>
        <w:keepNext w:val="0"/>
        <w:keepLines w:val="0"/>
        <w:pageBreakBefore w:val="0"/>
        <w:shd w:val="clear"/>
        <w:tabs>
          <w:tab w:val="left" w:pos="2536"/>
        </w:tabs>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kern w:val="44"/>
          <w:sz w:val="32"/>
          <w:szCs w:val="32"/>
          <w:lang w:val="en-US" w:eastAsia="zh-CN" w:bidi="ar"/>
        </w:rPr>
        <w:t>第四条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从事和参与</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储备承储、管理、监督单位，必须遵守本办法。各县（市、区）可参照本办法制</w:t>
      </w:r>
      <w:r>
        <w:rPr>
          <w:rFonts w:hint="eastAsia" w:ascii="Times New Roman" w:hAnsi="Times New Roman" w:eastAsia="方正仿宋简体" w:cs="Times New Roman"/>
          <w:b/>
          <w:bCs/>
          <w:sz w:val="32"/>
          <w:szCs w:val="32"/>
          <w:lang w:val="en-US" w:eastAsia="zh-CN"/>
        </w:rPr>
        <w:t>订</w:t>
      </w:r>
      <w:r>
        <w:rPr>
          <w:rFonts w:hint="default" w:ascii="Times New Roman" w:hAnsi="Times New Roman" w:eastAsia="方正仿宋简体" w:cs="Times New Roman"/>
          <w:b/>
          <w:bCs/>
          <w:sz w:val="32"/>
          <w:szCs w:val="32"/>
          <w:lang w:val="en-US" w:eastAsia="zh-CN"/>
        </w:rPr>
        <w:t>县级</w:t>
      </w:r>
      <w:r>
        <w:rPr>
          <w:rFonts w:hint="eastAsia" w:ascii="Times New Roman" w:hAnsi="Times New Roman" w:eastAsia="方正仿宋简体" w:cs="Times New Roman"/>
          <w:b/>
          <w:bCs/>
          <w:sz w:val="32"/>
          <w:szCs w:val="32"/>
          <w:lang w:val="en-US" w:eastAsia="zh-CN"/>
        </w:rPr>
        <w:t>政府</w:t>
      </w:r>
      <w:r>
        <w:rPr>
          <w:rFonts w:hint="default" w:ascii="Times New Roman" w:hAnsi="Times New Roman" w:eastAsia="方正仿宋简体" w:cs="Times New Roman"/>
          <w:b/>
          <w:bCs/>
          <w:sz w:val="32"/>
          <w:szCs w:val="32"/>
          <w:lang w:val="en-US" w:eastAsia="zh-CN"/>
        </w:rPr>
        <w:t>食盐储备管理办法。</w:t>
      </w: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sz w:val="32"/>
          <w:szCs w:val="32"/>
          <w:lang w:val="en-US" w:eastAsia="zh-CN"/>
        </w:rPr>
      </w:pP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 xml:space="preserve">第二章 </w:t>
      </w:r>
      <w:r>
        <w:rPr>
          <w:rFonts w:hint="eastAsia" w:ascii="Times New Roman" w:hAnsi="Times New Roman" w:eastAsia="黑体" w:cs="Times New Roman"/>
          <w:b/>
          <w:bCs/>
          <w:sz w:val="32"/>
          <w:szCs w:val="32"/>
          <w:lang w:val="en-US" w:eastAsia="zh-CN"/>
        </w:rPr>
        <w:t xml:space="preserve"> </w:t>
      </w:r>
      <w:r>
        <w:rPr>
          <w:rFonts w:hint="default" w:ascii="Times New Roman" w:hAnsi="Times New Roman" w:eastAsia="黑体" w:cs="Times New Roman"/>
          <w:b/>
          <w:bCs/>
          <w:sz w:val="32"/>
          <w:szCs w:val="32"/>
          <w:lang w:val="en-US" w:eastAsia="zh-CN"/>
        </w:rPr>
        <w:t>规模和资金使用</w:t>
      </w:r>
    </w:p>
    <w:p>
      <w:pPr>
        <w:keepNext w:val="0"/>
        <w:keepLines w:val="0"/>
        <w:pageBreakBefore w:val="0"/>
        <w:kinsoku/>
        <w:wordWrap/>
        <w:overflowPunct/>
        <w:topLinePunct w:val="0"/>
        <w:autoSpaceDE/>
        <w:autoSpaceDN/>
        <w:bidi w:val="0"/>
        <w:adjustRightInd/>
        <w:snapToGrid/>
        <w:spacing w:line="540" w:lineRule="exact"/>
        <w:jc w:val="center"/>
        <w:textAlignment w:val="auto"/>
        <w:rPr>
          <w:rFonts w:hint="default"/>
          <w:lang w:val="en-US" w:eastAsia="zh-CN"/>
        </w:rPr>
      </w:pP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kern w:val="44"/>
          <w:sz w:val="32"/>
          <w:szCs w:val="32"/>
          <w:lang w:val="en-US" w:eastAsia="zh-CN" w:bidi="ar"/>
        </w:rPr>
        <w:t>第五条</w:t>
      </w:r>
      <w:r>
        <w:rPr>
          <w:rFonts w:hint="eastAsia" w:ascii="Times New Roman" w:hAnsi="Times New Roman" w:eastAsia="黑体" w:cs="Times New Roman"/>
          <w:b/>
          <w:bCs/>
          <w:kern w:val="44"/>
          <w:sz w:val="32"/>
          <w:szCs w:val="32"/>
          <w:lang w:val="en-US" w:eastAsia="zh-CN" w:bidi="ar"/>
        </w:rPr>
        <w:t xml:space="preserve"> </w:t>
      </w:r>
      <w:r>
        <w:rPr>
          <w:rFonts w:hint="default" w:ascii="Times New Roman" w:hAnsi="Times New Roman" w:eastAsia="方正仿宋简体" w:cs="Times New Roman"/>
          <w:b/>
          <w:bCs/>
          <w:sz w:val="32"/>
          <w:szCs w:val="32"/>
          <w:lang w:val="en-US" w:eastAsia="zh-CN"/>
        </w:rPr>
        <w:t xml:space="preserve"> 市级</w:t>
      </w:r>
      <w:r>
        <w:rPr>
          <w:rFonts w:hint="eastAsia" w:ascii="Times New Roman" w:hAnsi="Times New Roman" w:eastAsia="方正仿宋简体" w:cs="Times New Roman"/>
          <w:b/>
          <w:bCs/>
          <w:sz w:val="32"/>
          <w:szCs w:val="32"/>
          <w:lang w:val="en-US" w:eastAsia="zh-CN"/>
        </w:rPr>
        <w:t>政府</w:t>
      </w:r>
      <w:r>
        <w:rPr>
          <w:rFonts w:hint="default" w:ascii="Times New Roman" w:hAnsi="Times New Roman" w:eastAsia="方正仿宋简体" w:cs="Times New Roman"/>
          <w:b/>
          <w:bCs/>
          <w:sz w:val="32"/>
          <w:szCs w:val="32"/>
          <w:lang w:val="en-US" w:eastAsia="zh-CN"/>
        </w:rPr>
        <w:t>食盐储备规模为全市上一年度月均食盐消</w:t>
      </w:r>
      <w:r>
        <w:rPr>
          <w:rFonts w:hint="default" w:ascii="Times New Roman" w:hAnsi="Times New Roman" w:eastAsia="方正仿宋简体" w:cs="Times New Roman"/>
          <w:b/>
          <w:bCs/>
          <w:sz w:val="32"/>
          <w:szCs w:val="32"/>
          <w:highlight w:val="none"/>
          <w:lang w:val="en-US" w:eastAsia="zh-CN"/>
        </w:rPr>
        <w:t>费量（核定小包</w:t>
      </w:r>
      <w:r>
        <w:rPr>
          <w:rFonts w:hint="eastAsia" w:ascii="Times New Roman" w:hAnsi="Times New Roman" w:eastAsia="方正仿宋简体" w:cs="Times New Roman"/>
          <w:b/>
          <w:bCs/>
          <w:sz w:val="32"/>
          <w:szCs w:val="32"/>
          <w:highlight w:val="none"/>
          <w:lang w:val="en-US" w:eastAsia="zh-CN"/>
        </w:rPr>
        <w:t>装</w:t>
      </w:r>
      <w:r>
        <w:rPr>
          <w:rFonts w:hint="default" w:ascii="Times New Roman" w:hAnsi="Times New Roman" w:eastAsia="方正仿宋简体" w:cs="Times New Roman"/>
          <w:b/>
          <w:bCs/>
          <w:sz w:val="32"/>
          <w:szCs w:val="32"/>
          <w:highlight w:val="none"/>
          <w:lang w:val="en-US" w:eastAsia="zh-CN"/>
        </w:rPr>
        <w:t>食盐2000吨）。储备规模</w:t>
      </w:r>
      <w:r>
        <w:rPr>
          <w:rFonts w:hint="default" w:ascii="Times New Roman" w:hAnsi="Times New Roman" w:eastAsia="方正仿宋简体" w:cs="Times New Roman"/>
          <w:b/>
          <w:bCs/>
          <w:sz w:val="32"/>
          <w:szCs w:val="32"/>
          <w:lang w:val="en-US" w:eastAsia="zh-CN"/>
        </w:rPr>
        <w:t>如需调整，由市工业和信息化局会同市财政局提出方案，报市</w:t>
      </w:r>
      <w:r>
        <w:rPr>
          <w:rFonts w:hint="eastAsia" w:ascii="Times New Roman" w:hAnsi="Times New Roman" w:eastAsia="方正仿宋简体" w:cs="Times New Roman"/>
          <w:b/>
          <w:bCs/>
          <w:sz w:val="32"/>
          <w:szCs w:val="32"/>
          <w:lang w:val="en-US" w:eastAsia="zh-CN"/>
        </w:rPr>
        <w:t>人民</w:t>
      </w:r>
      <w:r>
        <w:rPr>
          <w:rFonts w:hint="default" w:ascii="Times New Roman" w:hAnsi="Times New Roman" w:eastAsia="方正仿宋简体" w:cs="Times New Roman"/>
          <w:b/>
          <w:bCs/>
          <w:sz w:val="32"/>
          <w:szCs w:val="32"/>
          <w:lang w:val="en-US" w:eastAsia="zh-CN"/>
        </w:rPr>
        <w:t>政府审定。</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黑体" w:cs="Times New Roman"/>
          <w:b/>
          <w:bCs/>
          <w:kern w:val="44"/>
          <w:sz w:val="32"/>
          <w:szCs w:val="32"/>
          <w:lang w:val="en-US" w:eastAsia="zh-CN" w:bidi="ar"/>
        </w:rPr>
        <w:t>第六条</w:t>
      </w:r>
      <w:r>
        <w:rPr>
          <w:rFonts w:hint="eastAsia" w:ascii="Times New Roman" w:hAnsi="Times New Roman" w:eastAsia="方正仿宋简体" w:cs="Times New Roman"/>
          <w:b/>
          <w:bCs/>
          <w:sz w:val="32"/>
          <w:szCs w:val="32"/>
          <w:lang w:val="en-US" w:eastAsia="zh-CN"/>
        </w:rPr>
        <w:t xml:space="preserve">  市级政府食盐储备预算实行总额控制，</w:t>
      </w:r>
      <w:r>
        <w:rPr>
          <w:rFonts w:hint="default" w:ascii="Times New Roman" w:hAnsi="Times New Roman" w:eastAsia="方正仿宋简体" w:cs="Times New Roman"/>
          <w:b/>
          <w:bCs/>
          <w:sz w:val="32"/>
          <w:szCs w:val="32"/>
          <w:lang w:val="en-US" w:eastAsia="zh-CN"/>
        </w:rPr>
        <w:t>市财政对</w:t>
      </w:r>
      <w:r>
        <w:rPr>
          <w:rFonts w:hint="eastAsia" w:ascii="Times New Roman" w:hAnsi="Times New Roman" w:eastAsia="方正仿宋简体" w:cs="Times New Roman"/>
          <w:b/>
          <w:bCs/>
          <w:sz w:val="32"/>
          <w:szCs w:val="32"/>
          <w:lang w:val="en-US" w:eastAsia="zh-CN"/>
        </w:rPr>
        <w:t>市工业和信息化局确定的</w:t>
      </w:r>
      <w:r>
        <w:rPr>
          <w:rFonts w:hint="default" w:ascii="Times New Roman" w:hAnsi="Times New Roman" w:eastAsia="方正仿宋简体" w:cs="Times New Roman"/>
          <w:b/>
          <w:bCs/>
          <w:sz w:val="32"/>
          <w:szCs w:val="32"/>
          <w:lang w:val="en-US" w:eastAsia="zh-CN"/>
        </w:rPr>
        <w:t>承担食盐储备任务的企业（以下简称“承储企业”）为完成政府食盐储备任务而发生的贷款利息、资金占用费、管理费等支出给予补助，补助资金由承储企业</w:t>
      </w:r>
      <w:r>
        <w:rPr>
          <w:rFonts w:hint="eastAsia" w:ascii="Times New Roman" w:hAnsi="Times New Roman" w:eastAsia="方正仿宋简体" w:cs="Times New Roman"/>
          <w:b/>
          <w:bCs/>
          <w:sz w:val="32"/>
          <w:szCs w:val="32"/>
          <w:lang w:val="en-US" w:eastAsia="zh-CN"/>
        </w:rPr>
        <w:t>按照储备合同</w:t>
      </w:r>
      <w:r>
        <w:rPr>
          <w:rFonts w:hint="default" w:ascii="Times New Roman" w:hAnsi="Times New Roman" w:eastAsia="方正仿宋简体" w:cs="Times New Roman"/>
          <w:b/>
          <w:bCs/>
          <w:sz w:val="32"/>
          <w:szCs w:val="32"/>
          <w:lang w:val="en-US" w:eastAsia="zh-CN"/>
        </w:rPr>
        <w:t>包干使用。</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p>
    <w:p>
      <w:pPr>
        <w:pStyle w:val="2"/>
        <w:keepNext w:val="0"/>
        <w:keepLines w:val="0"/>
        <w:pageBreakBefore w:val="0"/>
        <w:widowControl/>
        <w:numPr>
          <w:ilvl w:val="0"/>
          <w:numId w:val="1"/>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sz w:val="32"/>
          <w:szCs w:val="32"/>
          <w:lang w:val="en-US" w:eastAsia="zh-CN"/>
        </w:rPr>
      </w:pPr>
      <w:r>
        <w:rPr>
          <w:rFonts w:hint="eastAsia" w:ascii="Times New Roman" w:hAnsi="Times New Roman" w:eastAsia="黑体" w:cs="Times New Roman"/>
          <w:b/>
          <w:bCs/>
          <w:sz w:val="32"/>
          <w:szCs w:val="32"/>
          <w:lang w:val="en-US" w:eastAsia="zh-CN"/>
        </w:rPr>
        <w:t xml:space="preserve"> </w:t>
      </w:r>
      <w:r>
        <w:rPr>
          <w:rFonts w:hint="default" w:ascii="Times New Roman" w:hAnsi="Times New Roman" w:eastAsia="黑体" w:cs="Times New Roman"/>
          <w:b/>
          <w:bCs/>
          <w:sz w:val="32"/>
          <w:szCs w:val="32"/>
          <w:lang w:val="en-US" w:eastAsia="zh-CN"/>
        </w:rPr>
        <w:t>管理体系</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黑体" w:cs="Times New Roman"/>
          <w:b/>
          <w:bCs/>
          <w:kern w:val="44"/>
          <w:sz w:val="32"/>
          <w:szCs w:val="32"/>
          <w:lang w:val="en-US" w:eastAsia="zh-CN" w:bidi="ar"/>
        </w:rPr>
      </w:pP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kern w:val="44"/>
          <w:sz w:val="32"/>
          <w:szCs w:val="32"/>
          <w:lang w:val="en-US" w:eastAsia="zh-CN" w:bidi="ar"/>
        </w:rPr>
        <w:t>第</w:t>
      </w:r>
      <w:r>
        <w:rPr>
          <w:rFonts w:hint="eastAsia" w:ascii="Times New Roman" w:hAnsi="Times New Roman" w:eastAsia="黑体" w:cs="Times New Roman"/>
          <w:b/>
          <w:bCs/>
          <w:kern w:val="44"/>
          <w:sz w:val="32"/>
          <w:szCs w:val="32"/>
          <w:lang w:val="en-US" w:eastAsia="zh-CN" w:bidi="ar"/>
        </w:rPr>
        <w:t>七</w:t>
      </w:r>
      <w:r>
        <w:rPr>
          <w:rFonts w:hint="default" w:ascii="Times New Roman" w:hAnsi="Times New Roman" w:eastAsia="黑体" w:cs="Times New Roman"/>
          <w:b/>
          <w:bCs/>
          <w:kern w:val="44"/>
          <w:sz w:val="32"/>
          <w:szCs w:val="32"/>
          <w:lang w:val="en-US" w:eastAsia="zh-CN" w:bidi="ar"/>
        </w:rPr>
        <w:t>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市工业和信息化局负责牵头协调</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储备管理工作，下达食盐储备计划；</w:t>
      </w:r>
      <w:r>
        <w:rPr>
          <w:rFonts w:hint="eastAsia" w:ascii="Times New Roman" w:hAnsi="Times New Roman" w:eastAsia="方正仿宋简体" w:cs="Times New Roman"/>
          <w:b/>
          <w:bCs/>
          <w:sz w:val="32"/>
          <w:szCs w:val="32"/>
          <w:lang w:val="en-US" w:eastAsia="zh-CN"/>
        </w:rPr>
        <w:t>通过招标等竞争性方式</w:t>
      </w:r>
      <w:r>
        <w:rPr>
          <w:rFonts w:hint="default" w:ascii="Times New Roman" w:hAnsi="Times New Roman" w:eastAsia="方正仿宋简体" w:cs="Times New Roman"/>
          <w:b/>
          <w:bCs/>
          <w:sz w:val="32"/>
          <w:szCs w:val="32"/>
          <w:lang w:val="en-US" w:eastAsia="zh-CN"/>
        </w:rPr>
        <w:t>确定承储企业，落实储备计划；根据</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储备情况提出项目预算安排建议和资金使用方案，并对项目资金使用绩效进行评价；对食盐储备有关情况进行监督</w:t>
      </w:r>
      <w:r>
        <w:rPr>
          <w:rFonts w:hint="eastAsia" w:ascii="Times New Roman" w:hAnsi="Times New Roman" w:eastAsia="方正仿宋简体" w:cs="Times New Roman"/>
          <w:b/>
          <w:bCs/>
          <w:sz w:val="32"/>
          <w:szCs w:val="32"/>
          <w:lang w:val="en-US" w:eastAsia="zh-CN"/>
        </w:rPr>
        <w:t>管理</w:t>
      </w:r>
      <w:r>
        <w:rPr>
          <w:rFonts w:hint="default" w:ascii="Times New Roman" w:hAnsi="Times New Roman" w:eastAsia="方正仿宋简体" w:cs="Times New Roman"/>
          <w:b/>
          <w:bCs/>
          <w:sz w:val="32"/>
          <w:szCs w:val="32"/>
          <w:lang w:val="en-US" w:eastAsia="zh-CN"/>
        </w:rPr>
        <w:t>，协调解决食盐储备工作中的问题。</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黑体" w:cs="Times New Roman"/>
          <w:b/>
          <w:bCs/>
          <w:kern w:val="44"/>
          <w:sz w:val="32"/>
          <w:szCs w:val="32"/>
          <w:lang w:val="en-US" w:eastAsia="zh-CN" w:bidi="ar"/>
        </w:rPr>
        <w:t>第八条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市财政局负责审核</w:t>
      </w:r>
      <w:r>
        <w:rPr>
          <w:rFonts w:hint="eastAsia" w:ascii="Times New Roman" w:hAnsi="Times New Roman" w:eastAsia="方正仿宋简体" w:cs="Times New Roman"/>
          <w:b/>
          <w:bCs/>
          <w:sz w:val="32"/>
          <w:szCs w:val="32"/>
          <w:lang w:val="en-US" w:eastAsia="zh-CN"/>
        </w:rPr>
        <w:t>市工业和信息化局报送的</w:t>
      </w:r>
      <w:r>
        <w:rPr>
          <w:rFonts w:hint="default" w:ascii="Times New Roman" w:hAnsi="Times New Roman" w:eastAsia="方正仿宋简体" w:cs="Times New Roman"/>
          <w:b/>
          <w:bCs/>
          <w:sz w:val="32"/>
          <w:szCs w:val="32"/>
          <w:lang w:val="en-US" w:eastAsia="zh-CN"/>
        </w:rPr>
        <w:t>政府食盐储备项目预算安排建议，按规定程序报批后列入年度预算，依据市工业和信息化局申报的资金使用计划，按照预算管理要求</w:t>
      </w:r>
      <w:r>
        <w:rPr>
          <w:rFonts w:hint="default" w:ascii="Times New Roman" w:hAnsi="Times New Roman" w:eastAsia="方正仿宋简体" w:cs="Times New Roman"/>
          <w:b/>
          <w:bCs/>
          <w:sz w:val="32"/>
          <w:szCs w:val="32"/>
          <w:highlight w:val="none"/>
          <w:lang w:val="en-US" w:eastAsia="zh-CN"/>
        </w:rPr>
        <w:t>拨付资金。</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color w:val="000000" w:themeColor="text1"/>
          <w:kern w:val="44"/>
          <w:sz w:val="32"/>
          <w:szCs w:val="32"/>
          <w:lang w:val="en-US" w:eastAsia="zh-CN" w:bidi="ar"/>
          <w14:textFill>
            <w14:solidFill>
              <w14:schemeClr w14:val="tx1"/>
            </w14:solidFill>
          </w14:textFill>
        </w:rPr>
        <w:t>第</w:t>
      </w:r>
      <w:r>
        <w:rPr>
          <w:rFonts w:hint="eastAsia" w:ascii="Times New Roman" w:hAnsi="Times New Roman" w:eastAsia="黑体" w:cs="Times New Roman"/>
          <w:b/>
          <w:bCs/>
          <w:color w:val="000000" w:themeColor="text1"/>
          <w:kern w:val="44"/>
          <w:sz w:val="32"/>
          <w:szCs w:val="32"/>
          <w:lang w:val="en-US" w:eastAsia="zh-CN" w:bidi="ar"/>
          <w14:textFill>
            <w14:solidFill>
              <w14:schemeClr w14:val="tx1"/>
            </w14:solidFill>
          </w14:textFill>
        </w:rPr>
        <w:t>九</w:t>
      </w:r>
      <w:r>
        <w:rPr>
          <w:rFonts w:hint="default" w:ascii="Times New Roman" w:hAnsi="Times New Roman" w:eastAsia="黑体" w:cs="Times New Roman"/>
          <w:b/>
          <w:bCs/>
          <w:color w:val="000000" w:themeColor="text1"/>
          <w:kern w:val="44"/>
          <w:sz w:val="32"/>
          <w:szCs w:val="32"/>
          <w:lang w:val="en-US" w:eastAsia="zh-CN" w:bidi="ar"/>
          <w14:textFill>
            <w14:solidFill>
              <w14:schemeClr w14:val="tx1"/>
            </w14:solidFill>
          </w14:textFill>
        </w:rPr>
        <w:t>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承储企业要与市工业和信息化局签订承储协议，明确各方的权利、义务和违约责任等事项。</w:t>
      </w: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sz w:val="32"/>
          <w:szCs w:val="32"/>
          <w:lang w:val="en-US" w:eastAsia="zh-CN"/>
        </w:rPr>
      </w:pP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 xml:space="preserve">第四章 </w:t>
      </w:r>
      <w:r>
        <w:rPr>
          <w:rFonts w:hint="eastAsia" w:ascii="Times New Roman" w:hAnsi="Times New Roman" w:eastAsia="黑体" w:cs="Times New Roman"/>
          <w:b/>
          <w:bCs/>
          <w:sz w:val="32"/>
          <w:szCs w:val="32"/>
          <w:lang w:val="en-US" w:eastAsia="zh-CN"/>
        </w:rPr>
        <w:t xml:space="preserve"> </w:t>
      </w:r>
      <w:r>
        <w:rPr>
          <w:rFonts w:hint="default" w:ascii="Times New Roman" w:hAnsi="Times New Roman" w:eastAsia="黑体" w:cs="Times New Roman"/>
          <w:b/>
          <w:bCs/>
          <w:sz w:val="32"/>
          <w:szCs w:val="32"/>
          <w:lang w:val="en-US" w:eastAsia="zh-CN"/>
        </w:rPr>
        <w:t>储存管理</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黑体" w:cs="Times New Roman"/>
          <w:b/>
          <w:bCs/>
          <w:kern w:val="44"/>
          <w:sz w:val="32"/>
          <w:szCs w:val="32"/>
          <w:lang w:val="en-US" w:eastAsia="zh-CN" w:bidi="ar"/>
        </w:rPr>
      </w:pP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kern w:val="44"/>
          <w:sz w:val="32"/>
          <w:szCs w:val="32"/>
          <w:lang w:val="en-US" w:eastAsia="zh-CN" w:bidi="ar"/>
        </w:rPr>
        <w:t>第十条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承储企业应当具备以下条件:</w:t>
      </w:r>
    </w:p>
    <w:p>
      <w:pPr>
        <w:keepNext w:val="0"/>
        <w:keepLines w:val="0"/>
        <w:pageBreakBefore w:val="0"/>
        <w:numPr>
          <w:ilvl w:val="0"/>
          <w:numId w:val="0"/>
        </w:numPr>
        <w:shd w:val="clear"/>
        <w:tabs>
          <w:tab w:val="left" w:pos="796"/>
        </w:tabs>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（一）具有食盐定点生产企业证书或食盐定点批发企业证书；</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（二）在济宁市内具有设施齐全且安全的食盐仓储条件；</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（三）交通便利，调动方便，经营量大，便于轮换；</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（四）财务状况良好，</w:t>
      </w:r>
      <w:r>
        <w:rPr>
          <w:rFonts w:hint="eastAsia" w:ascii="Times New Roman" w:hAnsi="Times New Roman" w:eastAsia="方正仿宋简体" w:cs="Times New Roman"/>
          <w:b/>
          <w:bCs/>
          <w:sz w:val="32"/>
          <w:szCs w:val="32"/>
          <w:lang w:val="en-US" w:eastAsia="zh-CN"/>
        </w:rPr>
        <w:t>近三年无重大违法违规、失信行为</w:t>
      </w:r>
      <w:r>
        <w:rPr>
          <w:rFonts w:hint="default" w:ascii="Times New Roman" w:hAnsi="Times New Roman" w:eastAsia="方正仿宋简体" w:cs="Times New Roman"/>
          <w:b/>
          <w:bCs/>
          <w:sz w:val="32"/>
          <w:szCs w:val="32"/>
          <w:lang w:val="en-US" w:eastAsia="zh-CN"/>
        </w:rPr>
        <w:t>；</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（五）承储企业符合财政资金绿色门槛制度管理要求。</w:t>
      </w:r>
    </w:p>
    <w:p>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kern w:val="44"/>
          <w:sz w:val="32"/>
          <w:szCs w:val="32"/>
          <w:lang w:val="en-US" w:eastAsia="zh-CN" w:bidi="ar"/>
        </w:rPr>
        <w:t>第十</w:t>
      </w:r>
      <w:r>
        <w:rPr>
          <w:rFonts w:hint="eastAsia" w:ascii="Times New Roman" w:hAnsi="Times New Roman" w:eastAsia="黑体" w:cs="Times New Roman"/>
          <w:b/>
          <w:bCs/>
          <w:kern w:val="44"/>
          <w:sz w:val="32"/>
          <w:szCs w:val="32"/>
          <w:lang w:val="en-US" w:eastAsia="zh-CN" w:bidi="ar"/>
        </w:rPr>
        <w:t>一</w:t>
      </w:r>
      <w:r>
        <w:rPr>
          <w:rFonts w:hint="default" w:ascii="Times New Roman" w:hAnsi="Times New Roman" w:eastAsia="黑体" w:cs="Times New Roman"/>
          <w:b/>
          <w:bCs/>
          <w:kern w:val="44"/>
          <w:sz w:val="32"/>
          <w:szCs w:val="32"/>
          <w:lang w:val="en-US" w:eastAsia="zh-CN" w:bidi="ar"/>
        </w:rPr>
        <w:t>条</w:t>
      </w:r>
      <w:r>
        <w:rPr>
          <w:rFonts w:hint="eastAsia" w:ascii="Times New Roman" w:hAnsi="Times New Roman" w:eastAsia="黑体" w:cs="Times New Roman"/>
          <w:b/>
          <w:bCs/>
          <w:kern w:val="44"/>
          <w:sz w:val="32"/>
          <w:szCs w:val="32"/>
          <w:lang w:val="en-US" w:eastAsia="zh-CN" w:bidi="ar"/>
        </w:rPr>
        <w:t xml:space="preserve"> </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储备工作按照相对集中存储、分布科学合理、利于应急调运的原则开展。</w:t>
      </w:r>
    </w:p>
    <w:p>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40" w:lineRule="exact"/>
        <w:ind w:left="0"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承储企业因违规</w:t>
      </w:r>
      <w:r>
        <w:rPr>
          <w:rFonts w:hint="eastAsia" w:ascii="Times New Roman" w:hAnsi="Times New Roman" w:eastAsia="方正仿宋简体" w:cs="Times New Roman"/>
          <w:b/>
          <w:bCs/>
          <w:sz w:val="32"/>
          <w:szCs w:val="32"/>
          <w:lang w:val="en-US" w:eastAsia="zh-CN"/>
        </w:rPr>
        <w:t>等原因</w:t>
      </w:r>
      <w:r>
        <w:rPr>
          <w:rFonts w:hint="default" w:ascii="Times New Roman" w:hAnsi="Times New Roman" w:eastAsia="方正仿宋简体" w:cs="Times New Roman"/>
          <w:b/>
          <w:bCs/>
          <w:sz w:val="32"/>
          <w:szCs w:val="32"/>
          <w:lang w:val="en-US" w:eastAsia="zh-CN"/>
        </w:rPr>
        <w:t>不再继续承担</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储备任务的，</w:t>
      </w:r>
      <w:r>
        <w:rPr>
          <w:rFonts w:hint="eastAsia" w:ascii="Times New Roman" w:hAnsi="Times New Roman" w:eastAsia="方正仿宋简体" w:cs="Times New Roman"/>
          <w:b/>
          <w:bCs/>
          <w:sz w:val="32"/>
          <w:szCs w:val="32"/>
          <w:lang w:val="en-US" w:eastAsia="zh-CN"/>
        </w:rPr>
        <w:t>视情节轻重，扣减或回收财政补贴，取消承储资格，</w:t>
      </w:r>
      <w:r>
        <w:rPr>
          <w:rFonts w:hint="default" w:ascii="Times New Roman" w:hAnsi="Times New Roman" w:eastAsia="方正仿宋简体" w:cs="Times New Roman"/>
          <w:b/>
          <w:bCs/>
          <w:sz w:val="32"/>
          <w:szCs w:val="32"/>
          <w:lang w:val="en-US" w:eastAsia="zh-CN"/>
        </w:rPr>
        <w:t>其承担的</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储备任务由市工业和信息化局牵头提出调整方案</w:t>
      </w:r>
      <w:r>
        <w:rPr>
          <w:rFonts w:hint="eastAsia" w:ascii="Times New Roman" w:hAnsi="Times New Roman" w:eastAsia="方正仿宋简体" w:cs="Times New Roman"/>
          <w:b/>
          <w:bCs/>
          <w:sz w:val="32"/>
          <w:szCs w:val="32"/>
          <w:lang w:val="en-US" w:eastAsia="zh-CN"/>
        </w:rPr>
        <w:t>，会同市财政局办理</w:t>
      </w:r>
      <w:r>
        <w:rPr>
          <w:rFonts w:hint="default" w:ascii="Times New Roman" w:hAnsi="Times New Roman" w:eastAsia="方正仿宋简体" w:cs="Times New Roman"/>
          <w:b/>
          <w:bCs/>
          <w:sz w:val="32"/>
          <w:szCs w:val="32"/>
          <w:lang w:val="en-US" w:eastAsia="zh-CN"/>
        </w:rPr>
        <w:t>。</w:t>
      </w:r>
    </w:p>
    <w:p>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kern w:val="44"/>
          <w:sz w:val="32"/>
          <w:szCs w:val="32"/>
          <w:lang w:val="en-US" w:eastAsia="zh-CN" w:bidi="ar"/>
        </w:rPr>
        <w:t>第十</w:t>
      </w:r>
      <w:r>
        <w:rPr>
          <w:rFonts w:hint="eastAsia" w:ascii="Times New Roman" w:hAnsi="Times New Roman" w:eastAsia="黑体" w:cs="Times New Roman"/>
          <w:b/>
          <w:bCs/>
          <w:kern w:val="44"/>
          <w:sz w:val="32"/>
          <w:szCs w:val="32"/>
          <w:lang w:val="en-US" w:eastAsia="zh-CN" w:bidi="ar"/>
        </w:rPr>
        <w:t>二</w:t>
      </w:r>
      <w:r>
        <w:rPr>
          <w:rFonts w:hint="default" w:ascii="Times New Roman" w:hAnsi="Times New Roman" w:eastAsia="黑体" w:cs="Times New Roman"/>
          <w:b/>
          <w:bCs/>
          <w:kern w:val="44"/>
          <w:sz w:val="32"/>
          <w:szCs w:val="32"/>
          <w:lang w:val="en-US" w:eastAsia="zh-CN" w:bidi="ar"/>
        </w:rPr>
        <w:t>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承储企业的职责：</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（一）严格执行各项管理制度，对</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储备的数量、质量和储存安全负直接责任，保证食盐储备储得进、管得好、调得动、用得上；</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（二）对</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储备定点储存、专人保管、专账记载，保证食盐储备账账相符、账物相符；</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（三）按照食盐质量和保管要求，至少每半年对食盐储备轮换一次，并对轮换出的食盐及时补库；</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（四）建立健全食盐储备的防火、防盗、</w:t>
      </w:r>
      <w:r>
        <w:rPr>
          <w:rFonts w:hint="eastAsia" w:ascii="Times New Roman" w:hAnsi="Times New Roman" w:eastAsia="方正仿宋简体" w:cs="Times New Roman"/>
          <w:b/>
          <w:bCs/>
          <w:sz w:val="32"/>
          <w:szCs w:val="32"/>
          <w:lang w:val="en-US" w:eastAsia="zh-CN"/>
        </w:rPr>
        <w:t>防潮</w:t>
      </w:r>
      <w:r>
        <w:rPr>
          <w:rFonts w:hint="default" w:ascii="Times New Roman" w:hAnsi="Times New Roman" w:eastAsia="方正仿宋简体" w:cs="Times New Roman"/>
          <w:b/>
          <w:bCs/>
          <w:sz w:val="32"/>
          <w:szCs w:val="32"/>
          <w:lang w:val="en-US" w:eastAsia="zh-CN"/>
        </w:rPr>
        <w:t>等安全管理制度，并配备必要的安全防护设施；</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（五）对食盐储备的储存管理状况进行</w:t>
      </w:r>
      <w:r>
        <w:rPr>
          <w:rFonts w:hint="default" w:ascii="Times New Roman" w:hAnsi="Times New Roman" w:eastAsia="方正仿宋简体" w:cs="Times New Roman"/>
          <w:b/>
          <w:bCs/>
          <w:sz w:val="32"/>
          <w:szCs w:val="32"/>
          <w:highlight w:val="none"/>
          <w:lang w:val="en-US" w:eastAsia="zh-CN"/>
        </w:rPr>
        <w:t>经常性检查，</w:t>
      </w:r>
      <w:r>
        <w:rPr>
          <w:rFonts w:hint="default" w:ascii="Times New Roman" w:hAnsi="Times New Roman" w:eastAsia="方正仿宋简体" w:cs="Times New Roman"/>
          <w:b/>
          <w:bCs/>
          <w:sz w:val="32"/>
          <w:szCs w:val="32"/>
          <w:lang w:val="en-US" w:eastAsia="zh-CN"/>
        </w:rPr>
        <w:t>发现问题及时处理。</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第十</w:t>
      </w:r>
      <w:r>
        <w:rPr>
          <w:rFonts w:hint="eastAsia" w:ascii="Times New Roman" w:hAnsi="Times New Roman" w:eastAsia="黑体" w:cs="Times New Roman"/>
          <w:b/>
          <w:bCs/>
          <w:sz w:val="32"/>
          <w:szCs w:val="32"/>
          <w:lang w:val="en-US" w:eastAsia="zh-CN"/>
        </w:rPr>
        <w:t>三</w:t>
      </w:r>
      <w:r>
        <w:rPr>
          <w:rFonts w:hint="default" w:ascii="Times New Roman" w:hAnsi="Times New Roman" w:eastAsia="黑体" w:cs="Times New Roman"/>
          <w:b/>
          <w:bCs/>
          <w:sz w:val="32"/>
          <w:szCs w:val="32"/>
          <w:lang w:val="en-US" w:eastAsia="zh-CN"/>
        </w:rPr>
        <w:t>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承储企业不得有下列行为：</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（一）虚报食盐储备的数量，在储备中掺杂使假、以次充好；</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（二）擅自调换食盐储备的品种、变更食盐储备的储存地点；</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（三）擅自动用食盐储备、挪用储备资金，以储备食盐对外进行担保或者清偿债务</w:t>
      </w:r>
      <w:r>
        <w:rPr>
          <w:rFonts w:hint="eastAsia" w:ascii="Times New Roman" w:hAnsi="Times New Roman" w:eastAsia="方正仿宋简体" w:cs="Times New Roman"/>
          <w:b/>
          <w:bCs/>
          <w:sz w:val="32"/>
          <w:szCs w:val="32"/>
          <w:lang w:val="en-US" w:eastAsia="zh-CN"/>
        </w:rPr>
        <w:t>；</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（四）因管理不善造成储备损失。</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第十</w:t>
      </w:r>
      <w:r>
        <w:rPr>
          <w:rFonts w:hint="eastAsia" w:ascii="Times New Roman" w:hAnsi="Times New Roman" w:eastAsia="黑体" w:cs="Times New Roman"/>
          <w:b/>
          <w:bCs/>
          <w:sz w:val="32"/>
          <w:szCs w:val="32"/>
          <w:lang w:val="en-US" w:eastAsia="zh-CN"/>
        </w:rPr>
        <w:t>四</w:t>
      </w:r>
      <w:r>
        <w:rPr>
          <w:rFonts w:hint="default" w:ascii="Times New Roman" w:hAnsi="Times New Roman" w:eastAsia="黑体" w:cs="Times New Roman"/>
          <w:b/>
          <w:bCs/>
          <w:sz w:val="32"/>
          <w:szCs w:val="32"/>
          <w:lang w:val="en-US" w:eastAsia="zh-CN"/>
        </w:rPr>
        <w:t>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承储企业对</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储备要做到定点存储、专</w:t>
      </w:r>
      <w:r>
        <w:rPr>
          <w:rFonts w:hint="eastAsia" w:ascii="Times New Roman" w:hAnsi="Times New Roman" w:eastAsia="方正仿宋简体" w:cs="Times New Roman"/>
          <w:b/>
          <w:bCs/>
          <w:sz w:val="32"/>
          <w:szCs w:val="32"/>
          <w:lang w:val="en-US" w:eastAsia="zh-CN"/>
        </w:rPr>
        <w:t>账</w:t>
      </w:r>
      <w:r>
        <w:rPr>
          <w:rFonts w:hint="default" w:ascii="Times New Roman" w:hAnsi="Times New Roman" w:eastAsia="方正仿宋简体" w:cs="Times New Roman"/>
          <w:b/>
          <w:bCs/>
          <w:sz w:val="32"/>
          <w:szCs w:val="32"/>
          <w:lang w:val="en-US" w:eastAsia="zh-CN"/>
        </w:rPr>
        <w:t>管理，与正常经营食盐</w:t>
      </w:r>
      <w:r>
        <w:rPr>
          <w:rFonts w:hint="eastAsia" w:ascii="Times New Roman" w:hAnsi="Times New Roman" w:eastAsia="方正仿宋简体" w:cs="Times New Roman"/>
          <w:b/>
          <w:bCs/>
          <w:sz w:val="32"/>
          <w:szCs w:val="32"/>
          <w:lang w:val="en-US" w:eastAsia="zh-CN"/>
        </w:rPr>
        <w:t>区分管理</w:t>
      </w:r>
      <w:r>
        <w:rPr>
          <w:rFonts w:hint="default" w:ascii="Times New Roman" w:hAnsi="Times New Roman" w:eastAsia="方正仿宋简体" w:cs="Times New Roman"/>
          <w:b/>
          <w:bCs/>
          <w:sz w:val="32"/>
          <w:szCs w:val="32"/>
          <w:lang w:val="en-US" w:eastAsia="zh-CN"/>
        </w:rPr>
        <w:t>，确保紧急情况和突发事件时对食盐储备的需求。</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bCs/>
          <w:sz w:val="32"/>
          <w:szCs w:val="32"/>
          <w:lang w:val="en-US" w:eastAsia="zh-CN"/>
        </w:rPr>
        <w:t>第十</w:t>
      </w:r>
      <w:r>
        <w:rPr>
          <w:rFonts w:hint="eastAsia" w:ascii="Times New Roman" w:hAnsi="Times New Roman" w:eastAsia="黑体" w:cs="Times New Roman"/>
          <w:b/>
          <w:bCs/>
          <w:sz w:val="32"/>
          <w:szCs w:val="32"/>
          <w:lang w:val="en-US" w:eastAsia="zh-CN"/>
        </w:rPr>
        <w:t>五</w:t>
      </w:r>
      <w:r>
        <w:rPr>
          <w:rFonts w:hint="default" w:ascii="Times New Roman" w:hAnsi="Times New Roman" w:eastAsia="黑体" w:cs="Times New Roman"/>
          <w:b/>
          <w:bCs/>
          <w:sz w:val="32"/>
          <w:szCs w:val="32"/>
          <w:lang w:val="en-US" w:eastAsia="zh-CN"/>
        </w:rPr>
        <w:t>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市级政府食盐</w:t>
      </w:r>
      <w:r>
        <w:rPr>
          <w:rFonts w:hint="default" w:ascii="Times New Roman" w:hAnsi="Times New Roman" w:eastAsia="方正仿宋简体" w:cs="Times New Roman"/>
          <w:b/>
          <w:bCs/>
          <w:sz w:val="32"/>
          <w:szCs w:val="32"/>
          <w:lang w:val="en-US" w:eastAsia="zh-CN"/>
        </w:rPr>
        <w:t>储备实行挂牌管理。食盐储备</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库）前悬挂“济宁</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储备（库）”标牌，并在库内明显位置标明食盐入</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库时间、数量、品种及管理人员等。</w:t>
      </w: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pP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 xml:space="preserve">第五章 </w:t>
      </w:r>
      <w:r>
        <w:rPr>
          <w:rFonts w:hint="eastAsia" w:ascii="Times New Roman" w:hAnsi="Times New Roman" w:eastAsia="黑体" w:cs="Times New Roman"/>
          <w:b/>
          <w:bCs/>
          <w:color w:val="000000" w:themeColor="text1"/>
          <w:sz w:val="32"/>
          <w:szCs w:val="32"/>
          <w:lang w:val="en-US" w:eastAsia="zh-CN"/>
          <w14:textFill>
            <w14:solidFill>
              <w14:schemeClr w14:val="tx1"/>
            </w14:solidFill>
          </w14:textFill>
        </w:rPr>
        <w:t xml:space="preserve"> </w:t>
      </w: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储备动用</w:t>
      </w:r>
    </w:p>
    <w:p>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pPr>
    </w:p>
    <w:p>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第十</w:t>
      </w:r>
      <w:r>
        <w:rPr>
          <w:rFonts w:hint="eastAsia" w:ascii="Times New Roman" w:hAnsi="Times New Roman" w:eastAsia="黑体" w:cs="Times New Roman"/>
          <w:b/>
          <w:bCs/>
          <w:color w:val="000000" w:themeColor="text1"/>
          <w:sz w:val="32"/>
          <w:szCs w:val="32"/>
          <w:lang w:val="en-US" w:eastAsia="zh-CN"/>
          <w14:textFill>
            <w14:solidFill>
              <w14:schemeClr w14:val="tx1"/>
            </w14:solidFill>
          </w14:textFill>
        </w:rPr>
        <w:t>六</w:t>
      </w:r>
      <w:r>
        <w:rPr>
          <w:rFonts w:hint="default" w:ascii="Times New Roman" w:hAnsi="Times New Roman" w:eastAsia="黑体" w:cs="Times New Roman"/>
          <w:b/>
          <w:bCs/>
          <w:color w:val="000000" w:themeColor="text1"/>
          <w:sz w:val="32"/>
          <w:szCs w:val="32"/>
          <w:lang w:val="en-US" w:eastAsia="zh-CN"/>
          <w14:textFill>
            <w14:solidFill>
              <w14:schemeClr w14:val="tx1"/>
            </w14:solidFill>
          </w14:textFill>
        </w:rPr>
        <w:t>条</w:t>
      </w:r>
      <w:r>
        <w:rPr>
          <w:rFonts w:hint="default" w:ascii="Times New Roman" w:hAnsi="Times New Roman" w:eastAsia="方正仿宋简体" w:cs="Times New Roman"/>
          <w:b/>
          <w:bCs/>
          <w:color w:val="000000" w:themeColor="text1"/>
          <w:sz w:val="32"/>
          <w:szCs w:val="32"/>
          <w:lang w:val="en-US" w:eastAsia="zh-CN"/>
          <w14:textFill>
            <w14:solidFill>
              <w14:schemeClr w14:val="tx1"/>
            </w14:solidFill>
          </w14:textFill>
        </w:rPr>
        <w:t xml:space="preserve"> </w:t>
      </w:r>
      <w:r>
        <w:rPr>
          <w:rFonts w:hint="eastAsia" w:ascii="Times New Roman" w:hAnsi="Times New Roman" w:eastAsia="方正仿宋简体" w:cs="Times New Roman"/>
          <w:b/>
          <w:bCs/>
          <w:color w:val="000000" w:themeColor="text1"/>
          <w:sz w:val="32"/>
          <w:szCs w:val="32"/>
          <w:lang w:val="en-US" w:eastAsia="zh-CN"/>
          <w14:textFill>
            <w14:solidFill>
              <w14:schemeClr w14:val="tx1"/>
            </w14:solidFill>
          </w14:textFill>
        </w:rPr>
        <w:t xml:space="preserve"> 市级政府食</w:t>
      </w:r>
      <w:r>
        <w:rPr>
          <w:rFonts w:hint="eastAsia" w:ascii="Times New Roman" w:hAnsi="Times New Roman" w:eastAsia="方正仿宋简体" w:cs="Times New Roman"/>
          <w:b/>
          <w:bCs/>
          <w:sz w:val="32"/>
          <w:szCs w:val="32"/>
          <w:lang w:val="en-US" w:eastAsia="zh-CN"/>
        </w:rPr>
        <w:t>盐</w:t>
      </w:r>
      <w:r>
        <w:rPr>
          <w:rFonts w:hint="default" w:ascii="Times New Roman" w:hAnsi="Times New Roman" w:eastAsia="方正仿宋简体" w:cs="Times New Roman"/>
          <w:b/>
          <w:bCs/>
          <w:sz w:val="32"/>
          <w:szCs w:val="32"/>
          <w:lang w:val="en-US" w:eastAsia="zh-CN"/>
        </w:rPr>
        <w:t>储备动用</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由市工业和信息化局</w:t>
      </w:r>
      <w:r>
        <w:rPr>
          <w:rFonts w:hint="eastAsia" w:ascii="Times New Roman" w:hAnsi="Times New Roman" w:eastAsia="方正仿宋简体" w:cs="Times New Roman"/>
          <w:b/>
          <w:bCs/>
          <w:sz w:val="32"/>
          <w:szCs w:val="32"/>
          <w:lang w:val="en-US" w:eastAsia="zh-CN"/>
        </w:rPr>
        <w:t>负责</w:t>
      </w:r>
      <w:r>
        <w:rPr>
          <w:rFonts w:hint="default" w:ascii="Times New Roman" w:hAnsi="Times New Roman" w:eastAsia="方正仿宋简体" w:cs="Times New Roman"/>
          <w:b/>
          <w:bCs/>
          <w:sz w:val="32"/>
          <w:szCs w:val="32"/>
          <w:lang w:val="en-US" w:eastAsia="zh-CN"/>
        </w:rPr>
        <w:t>提出动用方案，报市</w:t>
      </w:r>
      <w:r>
        <w:rPr>
          <w:rFonts w:hint="eastAsia" w:ascii="Times New Roman" w:hAnsi="Times New Roman" w:eastAsia="方正仿宋简体" w:cs="Times New Roman"/>
          <w:b/>
          <w:bCs/>
          <w:sz w:val="32"/>
          <w:szCs w:val="32"/>
          <w:lang w:val="en-US" w:eastAsia="zh-CN"/>
        </w:rPr>
        <w:t>人民</w:t>
      </w:r>
      <w:r>
        <w:rPr>
          <w:rFonts w:hint="default" w:ascii="Times New Roman" w:hAnsi="Times New Roman" w:eastAsia="方正仿宋简体" w:cs="Times New Roman"/>
          <w:b/>
          <w:bCs/>
          <w:sz w:val="32"/>
          <w:szCs w:val="32"/>
          <w:lang w:val="en-US" w:eastAsia="zh-CN"/>
        </w:rPr>
        <w:t>政府批准。紧急情况下，</w:t>
      </w:r>
      <w:r>
        <w:rPr>
          <w:rFonts w:hint="eastAsia" w:ascii="Times New Roman" w:hAnsi="Times New Roman" w:eastAsia="方正仿宋简体" w:cs="Times New Roman"/>
          <w:b/>
          <w:bCs/>
          <w:sz w:val="32"/>
          <w:szCs w:val="32"/>
          <w:lang w:val="en-US" w:eastAsia="zh-CN"/>
        </w:rPr>
        <w:t>经市工业和信息化局党组同意后可应急调用，调用比例不得超过50%，事后将紧急调用情况和成效向市人民政府书面报告</w:t>
      </w:r>
      <w:r>
        <w:rPr>
          <w:rFonts w:hint="default" w:ascii="Times New Roman" w:hAnsi="Times New Roman" w:eastAsia="方正仿宋简体" w:cs="Times New Roman"/>
          <w:b/>
          <w:bCs/>
          <w:sz w:val="32"/>
          <w:szCs w:val="32"/>
          <w:lang w:val="en-US" w:eastAsia="zh-CN"/>
        </w:rPr>
        <w:t>。</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left"/>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第十</w:t>
      </w:r>
      <w:r>
        <w:rPr>
          <w:rFonts w:hint="eastAsia" w:ascii="Times New Roman" w:hAnsi="Times New Roman" w:eastAsia="黑体" w:cs="Times New Roman"/>
          <w:b/>
          <w:bCs/>
          <w:sz w:val="32"/>
          <w:szCs w:val="32"/>
          <w:lang w:val="en-US" w:eastAsia="zh-CN"/>
        </w:rPr>
        <w:t>七</w:t>
      </w:r>
      <w:r>
        <w:rPr>
          <w:rFonts w:hint="default" w:ascii="Times New Roman" w:hAnsi="Times New Roman" w:eastAsia="黑体" w:cs="Times New Roman"/>
          <w:b/>
          <w:bCs/>
          <w:sz w:val="32"/>
          <w:szCs w:val="32"/>
          <w:lang w:val="en-US" w:eastAsia="zh-CN"/>
        </w:rPr>
        <w:t>条</w:t>
      </w:r>
      <w:r>
        <w:rPr>
          <w:rFonts w:hint="eastAsia" w:ascii="Times New Roman" w:hAnsi="Times New Roman" w:eastAsia="黑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 xml:space="preserve"> 出现下列情况之一时，可以动用</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left"/>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（一）全市或部分县市区食盐明显供不应求；</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left"/>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（二）发生重大自然灾害或者其他突发事件需要动用市级政府食盐储备；</w:t>
      </w:r>
    </w:p>
    <w:p>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（三）市</w:t>
      </w:r>
      <w:r>
        <w:rPr>
          <w:rFonts w:hint="eastAsia" w:ascii="Times New Roman" w:hAnsi="Times New Roman" w:eastAsia="方正仿宋简体" w:cs="Times New Roman"/>
          <w:b/>
          <w:bCs/>
          <w:sz w:val="32"/>
          <w:szCs w:val="32"/>
          <w:lang w:val="en-US" w:eastAsia="zh-CN"/>
        </w:rPr>
        <w:t>人民</w:t>
      </w:r>
      <w:r>
        <w:rPr>
          <w:rFonts w:hint="default" w:ascii="Times New Roman" w:hAnsi="Times New Roman" w:eastAsia="方正仿宋简体" w:cs="Times New Roman"/>
          <w:b/>
          <w:bCs/>
          <w:sz w:val="32"/>
          <w:szCs w:val="32"/>
          <w:lang w:val="en-US" w:eastAsia="zh-CN"/>
        </w:rPr>
        <w:t>政府认为需要动用</w:t>
      </w:r>
      <w:r>
        <w:rPr>
          <w:rFonts w:hint="eastAsia" w:ascii="Times New Roman" w:hAnsi="Times New Roman" w:eastAsia="方正仿宋简体" w:cs="Times New Roman"/>
          <w:b/>
          <w:bCs/>
          <w:sz w:val="32"/>
          <w:szCs w:val="32"/>
          <w:lang w:val="en-US" w:eastAsia="zh-CN"/>
        </w:rPr>
        <w:t>市级政府</w:t>
      </w:r>
      <w:r>
        <w:rPr>
          <w:rFonts w:hint="default" w:ascii="Times New Roman" w:hAnsi="Times New Roman" w:eastAsia="方正仿宋简体" w:cs="Times New Roman"/>
          <w:b/>
          <w:bCs/>
          <w:sz w:val="32"/>
          <w:szCs w:val="32"/>
          <w:lang w:val="en-US" w:eastAsia="zh-CN"/>
        </w:rPr>
        <w:t>食盐储备的其他情况</w:t>
      </w:r>
      <w:r>
        <w:rPr>
          <w:rFonts w:hint="eastAsia" w:ascii="Times New Roman" w:hAnsi="Times New Roman" w:eastAsia="方正仿宋简体" w:cs="Times New Roman"/>
          <w:b/>
          <w:bCs/>
          <w:sz w:val="32"/>
          <w:szCs w:val="32"/>
          <w:lang w:val="en-US" w:eastAsia="zh-CN"/>
        </w:rPr>
        <w:t>；</w:t>
      </w:r>
    </w:p>
    <w:p>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eastAsia" w:ascii="Times New Roman" w:hAnsi="Times New Roman" w:eastAsia="方正仿宋简体" w:cs="Times New Roman"/>
          <w:b/>
          <w:bCs/>
          <w:sz w:val="32"/>
          <w:szCs w:val="32"/>
          <w:lang w:val="en-US" w:eastAsia="zh-CN"/>
        </w:rPr>
        <w:t>（四）其他应动用市级政府食盐储备的情况。</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第十</w:t>
      </w:r>
      <w:r>
        <w:rPr>
          <w:rFonts w:hint="eastAsia" w:ascii="Times New Roman" w:hAnsi="Times New Roman" w:eastAsia="黑体" w:cs="Times New Roman"/>
          <w:b/>
          <w:bCs/>
          <w:sz w:val="32"/>
          <w:szCs w:val="32"/>
          <w:lang w:val="en-US" w:eastAsia="zh-CN"/>
        </w:rPr>
        <w:t>八</w:t>
      </w:r>
      <w:r>
        <w:rPr>
          <w:rFonts w:hint="default" w:ascii="Times New Roman" w:hAnsi="Times New Roman" w:eastAsia="黑体" w:cs="Times New Roman"/>
          <w:b/>
          <w:bCs/>
          <w:sz w:val="32"/>
          <w:szCs w:val="32"/>
          <w:lang w:val="en-US" w:eastAsia="zh-CN"/>
        </w:rPr>
        <w:t>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市工业和信息化局应根据市</w:t>
      </w:r>
      <w:r>
        <w:rPr>
          <w:rFonts w:hint="eastAsia" w:ascii="Times New Roman" w:hAnsi="Times New Roman" w:eastAsia="方正仿宋简体" w:cs="Times New Roman"/>
          <w:b/>
          <w:bCs/>
          <w:sz w:val="32"/>
          <w:szCs w:val="32"/>
          <w:lang w:val="en-US" w:eastAsia="zh-CN"/>
        </w:rPr>
        <w:t>人民</w:t>
      </w:r>
      <w:r>
        <w:rPr>
          <w:rFonts w:hint="default" w:ascii="Times New Roman" w:hAnsi="Times New Roman" w:eastAsia="方正仿宋简体" w:cs="Times New Roman"/>
          <w:b/>
          <w:bCs/>
          <w:sz w:val="32"/>
          <w:szCs w:val="32"/>
          <w:lang w:val="en-US" w:eastAsia="zh-CN"/>
        </w:rPr>
        <w:t>政府批准的</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储备动用方案或下达的动用</w:t>
      </w:r>
      <w:r>
        <w:rPr>
          <w:rFonts w:hint="eastAsia" w:ascii="Times New Roman" w:hAnsi="Times New Roman" w:eastAsia="方正仿宋简体" w:cs="Times New Roman"/>
          <w:b/>
          <w:bCs/>
          <w:sz w:val="32"/>
          <w:szCs w:val="32"/>
          <w:lang w:val="en-US" w:eastAsia="zh-CN"/>
        </w:rPr>
        <w:t>指令</w:t>
      </w:r>
      <w:r>
        <w:rPr>
          <w:rFonts w:hint="default" w:ascii="Times New Roman" w:hAnsi="Times New Roman" w:eastAsia="方正仿宋简体" w:cs="Times New Roman"/>
          <w:b/>
          <w:bCs/>
          <w:sz w:val="32"/>
          <w:szCs w:val="32"/>
          <w:lang w:val="en-US" w:eastAsia="zh-CN"/>
        </w:rPr>
        <w:t>，具体负责组织实施。市直有关部门和各县（市、区）人民政府对</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储备动用的实施，应当给予支持、配合。</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w:t>
      </w:r>
      <w:r>
        <w:rPr>
          <w:rFonts w:hint="eastAsia" w:ascii="Times New Roman" w:hAnsi="Times New Roman" w:eastAsia="黑体" w:cs="Times New Roman"/>
          <w:b/>
          <w:bCs/>
          <w:sz w:val="32"/>
          <w:szCs w:val="32"/>
          <w:lang w:val="en-US" w:eastAsia="zh-CN"/>
        </w:rPr>
        <w:t>十九</w:t>
      </w:r>
      <w:r>
        <w:rPr>
          <w:rFonts w:hint="default" w:ascii="Times New Roman" w:hAnsi="Times New Roman" w:eastAsia="黑体" w:cs="Times New Roman"/>
          <w:b/>
          <w:bCs/>
          <w:sz w:val="32"/>
          <w:szCs w:val="32"/>
          <w:lang w:val="en-US" w:eastAsia="zh-CN"/>
        </w:rPr>
        <w:t>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承储企业接到</w:t>
      </w:r>
      <w:r>
        <w:rPr>
          <w:rFonts w:hint="eastAsia" w:ascii="Times New Roman" w:hAnsi="Times New Roman" w:eastAsia="方正仿宋简体" w:cs="Times New Roman"/>
          <w:b/>
          <w:bCs/>
          <w:sz w:val="32"/>
          <w:szCs w:val="32"/>
          <w:lang w:val="en-US" w:eastAsia="zh-CN"/>
        </w:rPr>
        <w:t>市级政府食盐储备调拨指令后，</w:t>
      </w:r>
      <w:r>
        <w:rPr>
          <w:rFonts w:hint="default" w:ascii="Times New Roman" w:hAnsi="Times New Roman" w:eastAsia="方正仿宋简体" w:cs="Times New Roman"/>
          <w:b/>
          <w:bCs/>
          <w:sz w:val="32"/>
          <w:szCs w:val="32"/>
          <w:lang w:val="en-US" w:eastAsia="zh-CN"/>
        </w:rPr>
        <w:t>必须立即执行，并按规定数量、品种、时限等要求组织食盐出库，不得以任何理由拒绝或拖延。</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方正仿宋简体" w:cs="Times New Roman"/>
          <w:b/>
          <w:bCs/>
          <w:sz w:val="32"/>
          <w:szCs w:val="32"/>
          <w:lang w:val="en-US" w:eastAsia="zh-CN"/>
        </w:rPr>
        <w:t>任何单位和个人不得拒绝或擅自改变</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w:t>
      </w:r>
      <w:r>
        <w:rPr>
          <w:rFonts w:hint="eastAsia" w:ascii="Times New Roman" w:hAnsi="Times New Roman" w:eastAsia="方正仿宋简体" w:cs="Times New Roman"/>
          <w:b/>
          <w:bCs/>
          <w:sz w:val="32"/>
          <w:szCs w:val="32"/>
          <w:lang w:val="en-US" w:eastAsia="zh-CN"/>
        </w:rPr>
        <w:t>调拨指令</w:t>
      </w:r>
      <w:r>
        <w:rPr>
          <w:rFonts w:hint="default" w:ascii="Times New Roman" w:hAnsi="Times New Roman" w:eastAsia="方正仿宋简体" w:cs="Times New Roman"/>
          <w:b/>
          <w:bCs/>
          <w:sz w:val="32"/>
          <w:szCs w:val="32"/>
          <w:lang w:val="en-US" w:eastAsia="zh-CN"/>
        </w:rPr>
        <w:t>。</w:t>
      </w:r>
    </w:p>
    <w:p>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第二十条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市级政府食盐</w:t>
      </w:r>
      <w:r>
        <w:rPr>
          <w:rFonts w:hint="default" w:ascii="Times New Roman" w:hAnsi="Times New Roman" w:eastAsia="方正仿宋简体" w:cs="Times New Roman"/>
          <w:b/>
          <w:bCs/>
          <w:sz w:val="32"/>
          <w:szCs w:val="32"/>
          <w:lang w:val="en-US" w:eastAsia="zh-CN"/>
        </w:rPr>
        <w:t>储备动用后，承储企业原则上应在1个月内补齐储备，并将动用和补库情况报市工业和信息化局备案。补充储备后的数量、品种、规格等要与下达的储备计划一致。</w:t>
      </w: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sz w:val="32"/>
          <w:szCs w:val="32"/>
          <w:lang w:val="en-US" w:eastAsia="zh-CN"/>
        </w:rPr>
      </w:pP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 xml:space="preserve">第六章 </w:t>
      </w:r>
      <w:r>
        <w:rPr>
          <w:rFonts w:hint="eastAsia" w:ascii="Times New Roman" w:hAnsi="Times New Roman" w:eastAsia="黑体" w:cs="Times New Roman"/>
          <w:b/>
          <w:bCs/>
          <w:sz w:val="32"/>
          <w:szCs w:val="32"/>
          <w:lang w:val="en-US" w:eastAsia="zh-CN"/>
        </w:rPr>
        <w:t xml:space="preserve"> </w:t>
      </w:r>
      <w:r>
        <w:rPr>
          <w:rFonts w:hint="default" w:ascii="Times New Roman" w:hAnsi="Times New Roman" w:eastAsia="黑体" w:cs="Times New Roman"/>
          <w:b/>
          <w:bCs/>
          <w:sz w:val="32"/>
          <w:szCs w:val="32"/>
          <w:lang w:val="en-US" w:eastAsia="zh-CN"/>
        </w:rPr>
        <w:t>监督</w:t>
      </w:r>
      <w:r>
        <w:rPr>
          <w:rFonts w:hint="eastAsia" w:ascii="Times New Roman" w:hAnsi="Times New Roman" w:eastAsia="黑体" w:cs="Times New Roman"/>
          <w:b/>
          <w:bCs/>
          <w:sz w:val="32"/>
          <w:szCs w:val="32"/>
          <w:lang w:val="en-US" w:eastAsia="zh-CN"/>
        </w:rPr>
        <w:t>管理</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黑体" w:cs="Times New Roman"/>
          <w:b/>
          <w:bCs/>
          <w:sz w:val="32"/>
          <w:szCs w:val="32"/>
          <w:lang w:val="en-US" w:eastAsia="zh-CN"/>
        </w:rPr>
      </w:pP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第二十</w:t>
      </w:r>
      <w:r>
        <w:rPr>
          <w:rFonts w:hint="eastAsia" w:ascii="Times New Roman" w:hAnsi="Times New Roman" w:eastAsia="黑体" w:cs="Times New Roman"/>
          <w:b/>
          <w:bCs/>
          <w:sz w:val="32"/>
          <w:szCs w:val="32"/>
          <w:lang w:val="en-US" w:eastAsia="zh-CN"/>
        </w:rPr>
        <w:t>一</w:t>
      </w:r>
      <w:r>
        <w:rPr>
          <w:rFonts w:hint="default" w:ascii="Times New Roman" w:hAnsi="Times New Roman" w:eastAsia="黑体" w:cs="Times New Roman"/>
          <w:b/>
          <w:bCs/>
          <w:sz w:val="32"/>
          <w:szCs w:val="32"/>
          <w:lang w:val="en-US" w:eastAsia="zh-CN"/>
        </w:rPr>
        <w:t>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市工业和信息化局对市级政府食盐储备的数量及储存安全等实施监督管理。</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第二十</w:t>
      </w:r>
      <w:r>
        <w:rPr>
          <w:rFonts w:hint="eastAsia" w:ascii="Times New Roman" w:hAnsi="Times New Roman" w:eastAsia="黑体" w:cs="Times New Roman"/>
          <w:b/>
          <w:bCs/>
          <w:sz w:val="32"/>
          <w:szCs w:val="32"/>
          <w:lang w:val="en-US" w:eastAsia="zh-CN"/>
        </w:rPr>
        <w:t>二</w:t>
      </w:r>
      <w:r>
        <w:rPr>
          <w:rFonts w:hint="default" w:ascii="Times New Roman" w:hAnsi="Times New Roman" w:eastAsia="黑体" w:cs="Times New Roman"/>
          <w:b/>
          <w:bCs/>
          <w:sz w:val="32"/>
          <w:szCs w:val="32"/>
          <w:lang w:val="en-US" w:eastAsia="zh-CN"/>
        </w:rPr>
        <w:t>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承储企业对有关部门的监督</w:t>
      </w:r>
      <w:r>
        <w:rPr>
          <w:rFonts w:hint="eastAsia" w:ascii="Times New Roman" w:hAnsi="Times New Roman" w:eastAsia="方正仿宋简体" w:cs="Times New Roman"/>
          <w:b/>
          <w:bCs/>
          <w:sz w:val="32"/>
          <w:szCs w:val="32"/>
          <w:lang w:val="en-US" w:eastAsia="zh-CN"/>
        </w:rPr>
        <w:t>管理</w:t>
      </w:r>
      <w:r>
        <w:rPr>
          <w:rFonts w:hint="default" w:ascii="Times New Roman" w:hAnsi="Times New Roman" w:eastAsia="方正仿宋简体" w:cs="Times New Roman"/>
          <w:b/>
          <w:bCs/>
          <w:sz w:val="32"/>
          <w:szCs w:val="32"/>
          <w:lang w:val="en-US" w:eastAsia="zh-CN"/>
        </w:rPr>
        <w:t>，应予以积极配合，不得拒绝、阻挠。</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第二十</w:t>
      </w:r>
      <w:r>
        <w:rPr>
          <w:rFonts w:hint="eastAsia" w:ascii="Times New Roman" w:hAnsi="Times New Roman" w:eastAsia="黑体" w:cs="Times New Roman"/>
          <w:b/>
          <w:bCs/>
          <w:sz w:val="32"/>
          <w:szCs w:val="32"/>
          <w:lang w:val="en-US" w:eastAsia="zh-CN"/>
        </w:rPr>
        <w:t>三</w:t>
      </w:r>
      <w:r>
        <w:rPr>
          <w:rFonts w:hint="default" w:ascii="Times New Roman" w:hAnsi="Times New Roman" w:eastAsia="黑体" w:cs="Times New Roman"/>
          <w:b/>
          <w:bCs/>
          <w:sz w:val="32"/>
          <w:szCs w:val="32"/>
          <w:lang w:val="en-US" w:eastAsia="zh-CN"/>
        </w:rPr>
        <w:t>条</w:t>
      </w:r>
      <w:r>
        <w:rPr>
          <w:rFonts w:hint="eastAsia" w:ascii="Times New Roman" w:hAnsi="Times New Roman" w:eastAsia="黑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 xml:space="preserve"> 在</w:t>
      </w:r>
      <w:r>
        <w:rPr>
          <w:rFonts w:hint="eastAsia" w:ascii="Times New Roman" w:hAnsi="Times New Roman" w:eastAsia="方正仿宋简体" w:cs="Times New Roman"/>
          <w:b/>
          <w:bCs/>
          <w:sz w:val="32"/>
          <w:szCs w:val="32"/>
          <w:lang w:val="en-US" w:eastAsia="zh-CN"/>
        </w:rPr>
        <w:t>市级政府食盐</w:t>
      </w:r>
      <w:r>
        <w:rPr>
          <w:rFonts w:hint="default" w:ascii="Times New Roman" w:hAnsi="Times New Roman" w:eastAsia="方正仿宋简体" w:cs="Times New Roman"/>
          <w:b/>
          <w:bCs/>
          <w:sz w:val="32"/>
          <w:szCs w:val="32"/>
          <w:lang w:val="en-US" w:eastAsia="zh-CN"/>
        </w:rPr>
        <w:t>储备管理工作中，负有相关责任的工作人员滥用职权、玩忽职守、徇私舞弊的，由其所在单位给予行政处分；构成犯罪的，移交司法机关依法追究刑事责任。</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both"/>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第二十</w:t>
      </w:r>
      <w:r>
        <w:rPr>
          <w:rFonts w:hint="eastAsia" w:ascii="Times New Roman" w:hAnsi="Times New Roman" w:eastAsia="黑体" w:cs="Times New Roman"/>
          <w:b/>
          <w:bCs/>
          <w:sz w:val="32"/>
          <w:szCs w:val="32"/>
          <w:lang w:val="en-US" w:eastAsia="zh-CN"/>
        </w:rPr>
        <w:t>四</w:t>
      </w:r>
      <w:r>
        <w:rPr>
          <w:rFonts w:hint="default" w:ascii="Times New Roman" w:hAnsi="Times New Roman" w:eastAsia="黑体" w:cs="Times New Roman"/>
          <w:b/>
          <w:bCs/>
          <w:sz w:val="32"/>
          <w:szCs w:val="32"/>
          <w:lang w:val="en-US" w:eastAsia="zh-CN"/>
        </w:rPr>
        <w:t>条</w:t>
      </w:r>
      <w:r>
        <w:rPr>
          <w:rFonts w:hint="eastAsia" w:ascii="Times New Roman" w:hAnsi="Times New Roman" w:eastAsia="黑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 xml:space="preserve"> 承储企业违反本办法和承储协议的，扣减财政补贴，取消承储资格，并依据《关于对盐行业生产经营严重失信者开展联合惩戒的合作备忘录》（发改经体〔2017〕1164号）</w:t>
      </w:r>
      <w:r>
        <w:rPr>
          <w:rFonts w:hint="eastAsia" w:ascii="Times New Roman" w:hAnsi="Times New Roman" w:eastAsia="方正仿宋简体" w:cs="Times New Roman"/>
          <w:b/>
          <w:bCs/>
          <w:sz w:val="32"/>
          <w:szCs w:val="32"/>
          <w:lang w:val="en-US" w:eastAsia="zh-CN"/>
        </w:rPr>
        <w:t>相关</w:t>
      </w:r>
      <w:r>
        <w:rPr>
          <w:rFonts w:hint="default" w:ascii="Times New Roman" w:hAnsi="Times New Roman" w:eastAsia="方正仿宋简体" w:cs="Times New Roman"/>
          <w:b/>
          <w:bCs/>
          <w:sz w:val="32"/>
          <w:szCs w:val="32"/>
          <w:lang w:val="en-US" w:eastAsia="zh-CN"/>
        </w:rPr>
        <w:t>要求对</w:t>
      </w:r>
      <w:r>
        <w:rPr>
          <w:rFonts w:hint="eastAsia" w:ascii="Times New Roman" w:hAnsi="Times New Roman" w:eastAsia="方正仿宋简体" w:cs="Times New Roman"/>
          <w:b/>
          <w:bCs/>
          <w:sz w:val="32"/>
          <w:szCs w:val="32"/>
          <w:lang w:val="en-US" w:eastAsia="zh-CN"/>
        </w:rPr>
        <w:t>承储</w:t>
      </w:r>
      <w:r>
        <w:rPr>
          <w:rFonts w:hint="default" w:ascii="Times New Roman" w:hAnsi="Times New Roman" w:eastAsia="方正仿宋简体" w:cs="Times New Roman"/>
          <w:b/>
          <w:bCs/>
          <w:sz w:val="32"/>
          <w:szCs w:val="32"/>
          <w:lang w:val="en-US" w:eastAsia="zh-CN"/>
        </w:rPr>
        <w:t>企业</w:t>
      </w:r>
      <w:r>
        <w:rPr>
          <w:rFonts w:hint="eastAsia" w:ascii="Times New Roman" w:hAnsi="Times New Roman" w:eastAsia="方正仿宋简体" w:cs="Times New Roman"/>
          <w:b/>
          <w:bCs/>
          <w:sz w:val="32"/>
          <w:szCs w:val="32"/>
          <w:lang w:val="en-US" w:eastAsia="zh-CN"/>
        </w:rPr>
        <w:t>及</w:t>
      </w:r>
      <w:r>
        <w:rPr>
          <w:rFonts w:hint="default" w:ascii="Times New Roman" w:hAnsi="Times New Roman" w:eastAsia="方正仿宋简体" w:cs="Times New Roman"/>
          <w:b/>
          <w:bCs/>
          <w:sz w:val="32"/>
          <w:szCs w:val="32"/>
          <w:lang w:val="en-US" w:eastAsia="zh-CN"/>
        </w:rPr>
        <w:t>相关责任人进行惩戒；涉嫌犯罪的，依法移交司法机关追究刑事责任。</w:t>
      </w: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sz w:val="32"/>
          <w:szCs w:val="32"/>
          <w:lang w:val="en-US" w:eastAsia="zh-CN"/>
        </w:rPr>
      </w:pPr>
    </w:p>
    <w:p>
      <w:pPr>
        <w:pStyle w:val="2"/>
        <w:keepNext w:val="0"/>
        <w:keepLines w:val="0"/>
        <w:pageBreakBefore w:val="0"/>
        <w:widowControl/>
        <w:numPr>
          <w:ilvl w:val="0"/>
          <w:numId w:val="0"/>
        </w:numPr>
        <w:suppressLineNumbers w:val="0"/>
        <w:pBdr>
          <w:top w:val="none" w:color="auto" w:sz="0" w:space="0"/>
          <w:left w:val="none" w:color="auto" w:sz="0" w:space="0"/>
          <w:right w:val="none" w:color="auto" w:sz="0" w:space="0"/>
        </w:pBdr>
        <w:shd w:val="clear"/>
        <w:kinsoku/>
        <w:wordWrap/>
        <w:overflowPunct/>
        <w:topLinePunct w:val="0"/>
        <w:autoSpaceDE/>
        <w:autoSpaceDN/>
        <w:bidi w:val="0"/>
        <w:adjustRightInd/>
        <w:snapToGrid/>
        <w:spacing w:before="0" w:beforeAutospacing="0" w:after="0" w:afterAutospacing="0" w:line="540" w:lineRule="exact"/>
        <w:jc w:val="center"/>
        <w:textAlignment w:val="auto"/>
        <w:outlineLvl w:val="0"/>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 xml:space="preserve">第七章 </w:t>
      </w:r>
      <w:r>
        <w:rPr>
          <w:rFonts w:hint="eastAsia" w:ascii="Times New Roman" w:hAnsi="Times New Roman" w:eastAsia="黑体" w:cs="Times New Roman"/>
          <w:b/>
          <w:bCs/>
          <w:sz w:val="32"/>
          <w:szCs w:val="32"/>
          <w:lang w:val="en-US" w:eastAsia="zh-CN"/>
        </w:rPr>
        <w:t xml:space="preserve"> </w:t>
      </w:r>
      <w:r>
        <w:rPr>
          <w:rFonts w:hint="default" w:ascii="Times New Roman" w:hAnsi="Times New Roman" w:eastAsia="黑体" w:cs="Times New Roman"/>
          <w:b/>
          <w:bCs/>
          <w:sz w:val="32"/>
          <w:szCs w:val="32"/>
          <w:lang w:val="en-US" w:eastAsia="zh-CN"/>
        </w:rPr>
        <w:t>附</w:t>
      </w:r>
      <w:r>
        <w:rPr>
          <w:rFonts w:hint="eastAsia" w:ascii="Times New Roman" w:hAnsi="Times New Roman" w:eastAsia="黑体" w:cs="Times New Roman"/>
          <w:b/>
          <w:bCs/>
          <w:sz w:val="32"/>
          <w:szCs w:val="32"/>
          <w:lang w:val="en-US" w:eastAsia="zh-CN"/>
        </w:rPr>
        <w:t xml:space="preserve">  </w:t>
      </w:r>
      <w:r>
        <w:rPr>
          <w:rFonts w:hint="default" w:ascii="Times New Roman" w:hAnsi="Times New Roman" w:eastAsia="黑体" w:cs="Times New Roman"/>
          <w:b/>
          <w:bCs/>
          <w:sz w:val="32"/>
          <w:szCs w:val="32"/>
          <w:lang w:val="en-US" w:eastAsia="zh-CN"/>
        </w:rPr>
        <w:t>则</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left"/>
        <w:textAlignment w:val="auto"/>
        <w:rPr>
          <w:rFonts w:hint="default" w:ascii="Times New Roman" w:hAnsi="Times New Roman" w:eastAsia="黑体" w:cs="Times New Roman"/>
          <w:b/>
          <w:bCs/>
          <w:sz w:val="32"/>
          <w:szCs w:val="32"/>
          <w:lang w:val="en-US" w:eastAsia="zh-CN"/>
        </w:rPr>
      </w:pP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left"/>
        <w:textAlignment w:val="auto"/>
        <w:rPr>
          <w:rFonts w:hint="default" w:ascii="Times New Roman" w:hAnsi="Times New Roman" w:eastAsia="方正仿宋简体" w:cs="Times New Roman"/>
          <w:b/>
          <w:bCs/>
          <w:sz w:val="32"/>
          <w:szCs w:val="32"/>
          <w:highlight w:val="none"/>
          <w:lang w:val="en-US" w:eastAsia="zh-CN"/>
        </w:rPr>
      </w:pPr>
      <w:r>
        <w:rPr>
          <w:rFonts w:hint="default" w:ascii="Times New Roman" w:hAnsi="Times New Roman" w:eastAsia="黑体" w:cs="Times New Roman"/>
          <w:b/>
          <w:bCs/>
          <w:sz w:val="32"/>
          <w:szCs w:val="32"/>
          <w:highlight w:val="none"/>
          <w:lang w:val="en-US" w:eastAsia="zh-CN"/>
        </w:rPr>
        <w:t>第二十</w:t>
      </w:r>
      <w:r>
        <w:rPr>
          <w:rFonts w:hint="eastAsia" w:ascii="Times New Roman" w:hAnsi="Times New Roman" w:eastAsia="黑体" w:cs="Times New Roman"/>
          <w:b/>
          <w:bCs/>
          <w:sz w:val="32"/>
          <w:szCs w:val="32"/>
          <w:highlight w:val="none"/>
          <w:lang w:val="en-US" w:eastAsia="zh-CN"/>
        </w:rPr>
        <w:t>五</w:t>
      </w:r>
      <w:r>
        <w:rPr>
          <w:rFonts w:hint="default" w:ascii="Times New Roman" w:hAnsi="Times New Roman" w:eastAsia="黑体" w:cs="Times New Roman"/>
          <w:b/>
          <w:bCs/>
          <w:sz w:val="32"/>
          <w:szCs w:val="32"/>
          <w:highlight w:val="none"/>
          <w:lang w:val="en-US" w:eastAsia="zh-CN"/>
        </w:rPr>
        <w:t>条</w:t>
      </w:r>
      <w:r>
        <w:rPr>
          <w:rFonts w:hint="default" w:ascii="Times New Roman" w:hAnsi="Times New Roman" w:eastAsia="方正仿宋简体" w:cs="Times New Roman"/>
          <w:b/>
          <w:bCs/>
          <w:sz w:val="32"/>
          <w:szCs w:val="32"/>
          <w:highlight w:val="none"/>
          <w:lang w:val="en-US" w:eastAsia="zh-CN"/>
        </w:rPr>
        <w:t xml:space="preserve"> </w:t>
      </w:r>
      <w:r>
        <w:rPr>
          <w:rFonts w:hint="eastAsia" w:ascii="Times New Roman" w:hAnsi="Times New Roman" w:eastAsia="方正仿宋简体" w:cs="Times New Roman"/>
          <w:b/>
          <w:bCs/>
          <w:sz w:val="32"/>
          <w:szCs w:val="32"/>
          <w:highlight w:val="none"/>
          <w:lang w:val="en-US" w:eastAsia="zh-CN"/>
        </w:rPr>
        <w:t xml:space="preserve"> </w:t>
      </w:r>
      <w:r>
        <w:rPr>
          <w:rFonts w:hint="default" w:ascii="Times New Roman" w:hAnsi="Times New Roman" w:eastAsia="方正仿宋简体" w:cs="Times New Roman"/>
          <w:b/>
          <w:bCs/>
          <w:sz w:val="32"/>
          <w:szCs w:val="32"/>
          <w:highlight w:val="none"/>
          <w:lang w:val="en-US" w:eastAsia="zh-CN"/>
        </w:rPr>
        <w:t>本办法由市工业和信息化局</w:t>
      </w:r>
      <w:r>
        <w:rPr>
          <w:rFonts w:hint="eastAsia" w:ascii="Times New Roman" w:hAnsi="Times New Roman" w:eastAsia="方正仿宋简体" w:cs="Times New Roman"/>
          <w:b/>
          <w:bCs/>
          <w:sz w:val="32"/>
          <w:szCs w:val="32"/>
          <w:highlight w:val="none"/>
          <w:lang w:val="en-US" w:eastAsia="zh-CN"/>
        </w:rPr>
        <w:t>会同市财政局</w:t>
      </w:r>
      <w:r>
        <w:rPr>
          <w:rFonts w:hint="default" w:ascii="Times New Roman" w:hAnsi="Times New Roman" w:eastAsia="方正仿宋简体" w:cs="Times New Roman"/>
          <w:b/>
          <w:bCs/>
          <w:sz w:val="32"/>
          <w:szCs w:val="32"/>
          <w:highlight w:val="none"/>
          <w:lang w:val="en-US" w:eastAsia="zh-CN"/>
        </w:rPr>
        <w:t>负责解释。</w:t>
      </w:r>
    </w:p>
    <w:p>
      <w:pPr>
        <w:keepNext w:val="0"/>
        <w:keepLines w:val="0"/>
        <w:pageBreakBefore w:val="0"/>
        <w:numPr>
          <w:ilvl w:val="0"/>
          <w:numId w:val="0"/>
        </w:numPr>
        <w:shd w:val="clear"/>
        <w:kinsoku/>
        <w:wordWrap/>
        <w:overflowPunct/>
        <w:topLinePunct w:val="0"/>
        <w:autoSpaceDE/>
        <w:autoSpaceDN/>
        <w:bidi w:val="0"/>
        <w:adjustRightInd/>
        <w:snapToGrid/>
        <w:spacing w:beforeAutospacing="0" w:afterAutospacing="0" w:line="540" w:lineRule="exact"/>
        <w:ind w:leftChars="0" w:firstLine="643" w:firstLineChars="200"/>
        <w:jc w:val="left"/>
        <w:textAlignment w:val="auto"/>
        <w:rPr>
          <w:rFonts w:hint="default" w:ascii="Times New Roman" w:hAnsi="Times New Roman" w:eastAsia="方正仿宋简体" w:cs="Times New Roman"/>
          <w:b/>
          <w:bCs/>
          <w:sz w:val="32"/>
          <w:szCs w:val="32"/>
          <w:lang w:val="en-US" w:eastAsia="zh-CN"/>
        </w:rPr>
      </w:pPr>
      <w:r>
        <w:rPr>
          <w:rFonts w:hint="default" w:ascii="Times New Roman" w:hAnsi="Times New Roman" w:eastAsia="黑体" w:cs="Times New Roman"/>
          <w:b/>
          <w:bCs/>
          <w:sz w:val="32"/>
          <w:szCs w:val="32"/>
          <w:lang w:val="en-US" w:eastAsia="zh-CN"/>
        </w:rPr>
        <w:t>第二十</w:t>
      </w:r>
      <w:r>
        <w:rPr>
          <w:rFonts w:hint="eastAsia" w:ascii="Times New Roman" w:hAnsi="Times New Roman" w:eastAsia="黑体" w:cs="Times New Roman"/>
          <w:b/>
          <w:bCs/>
          <w:sz w:val="32"/>
          <w:szCs w:val="32"/>
          <w:lang w:val="en-US" w:eastAsia="zh-CN"/>
        </w:rPr>
        <w:t>六</w:t>
      </w:r>
      <w:r>
        <w:rPr>
          <w:rFonts w:hint="default" w:ascii="Times New Roman" w:hAnsi="Times New Roman" w:eastAsia="黑体" w:cs="Times New Roman"/>
          <w:b/>
          <w:bCs/>
          <w:sz w:val="32"/>
          <w:szCs w:val="32"/>
          <w:lang w:val="en-US" w:eastAsia="zh-CN"/>
        </w:rPr>
        <w:t>条</w:t>
      </w:r>
      <w:r>
        <w:rPr>
          <w:rFonts w:hint="default" w:ascii="Times New Roman" w:hAnsi="Times New Roman" w:eastAsia="方正仿宋简体" w:cs="Times New Roman"/>
          <w:b/>
          <w:bCs/>
          <w:sz w:val="32"/>
          <w:szCs w:val="32"/>
          <w:lang w:val="en-US" w:eastAsia="zh-CN"/>
        </w:rPr>
        <w:t xml:space="preserve"> </w:t>
      </w:r>
      <w:r>
        <w:rPr>
          <w:rFonts w:hint="eastAsia" w:ascii="Times New Roman" w:hAnsi="Times New Roman" w:eastAsia="方正仿宋简体" w:cs="Times New Roman"/>
          <w:b/>
          <w:bCs/>
          <w:sz w:val="32"/>
          <w:szCs w:val="32"/>
          <w:lang w:val="en-US" w:eastAsia="zh-CN"/>
        </w:rPr>
        <w:t xml:space="preserve"> </w:t>
      </w:r>
      <w:r>
        <w:rPr>
          <w:rFonts w:hint="default" w:ascii="Times New Roman" w:hAnsi="Times New Roman" w:eastAsia="方正仿宋简体" w:cs="Times New Roman"/>
          <w:b/>
          <w:bCs/>
          <w:sz w:val="32"/>
          <w:szCs w:val="32"/>
          <w:lang w:val="en-US" w:eastAsia="zh-CN"/>
        </w:rPr>
        <w:t>本办法有效期自202</w:t>
      </w:r>
      <w:r>
        <w:rPr>
          <w:rFonts w:hint="eastAsia" w:ascii="Times New Roman" w:hAnsi="Times New Roman" w:eastAsia="方正仿宋简体" w:cs="Times New Roman"/>
          <w:b/>
          <w:bCs/>
          <w:sz w:val="32"/>
          <w:szCs w:val="32"/>
          <w:lang w:val="en-US" w:eastAsia="zh-CN"/>
        </w:rPr>
        <w:t>6</w:t>
      </w:r>
      <w:r>
        <w:rPr>
          <w:rFonts w:hint="default" w:ascii="Times New Roman" w:hAnsi="Times New Roman" w:eastAsia="方正仿宋简体" w:cs="Times New Roman"/>
          <w:b/>
          <w:bCs/>
          <w:sz w:val="32"/>
          <w:szCs w:val="32"/>
          <w:lang w:val="en-US" w:eastAsia="zh-CN"/>
        </w:rPr>
        <w:t>年</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月</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日起，至202</w:t>
      </w:r>
      <w:r>
        <w:rPr>
          <w:rFonts w:hint="eastAsia" w:ascii="Times New Roman" w:hAnsi="Times New Roman" w:eastAsia="方正仿宋简体" w:cs="Times New Roman"/>
          <w:b/>
          <w:bCs/>
          <w:sz w:val="32"/>
          <w:szCs w:val="32"/>
          <w:lang w:val="en-US" w:eastAsia="zh-CN"/>
        </w:rPr>
        <w:t>9</w:t>
      </w:r>
      <w:r>
        <w:rPr>
          <w:rFonts w:hint="default" w:ascii="Times New Roman" w:hAnsi="Times New Roman" w:eastAsia="方正仿宋简体" w:cs="Times New Roman"/>
          <w:b/>
          <w:bCs/>
          <w:sz w:val="32"/>
          <w:szCs w:val="32"/>
          <w:lang w:val="en-US" w:eastAsia="zh-CN"/>
        </w:rPr>
        <w:t>年</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月</w:t>
      </w:r>
      <w:r>
        <w:rPr>
          <w:rFonts w:hint="eastAsia" w:ascii="Times New Roman" w:hAnsi="Times New Roman" w:eastAsia="方正仿宋简体" w:cs="Times New Roman"/>
          <w:b/>
          <w:bCs/>
          <w:sz w:val="32"/>
          <w:szCs w:val="32"/>
          <w:lang w:val="en-US" w:eastAsia="zh-CN"/>
        </w:rPr>
        <w:t>**</w:t>
      </w:r>
      <w:r>
        <w:rPr>
          <w:rFonts w:hint="default" w:ascii="Times New Roman" w:hAnsi="Times New Roman" w:eastAsia="方正仿宋简体" w:cs="Times New Roman"/>
          <w:b/>
          <w:bCs/>
          <w:sz w:val="32"/>
          <w:szCs w:val="32"/>
          <w:lang w:val="en-US" w:eastAsia="zh-CN"/>
        </w:rPr>
        <w:t>日止。</w:t>
      </w:r>
    </w:p>
    <w:p>
      <w:pPr>
        <w:keepNext w:val="0"/>
        <w:keepLines w:val="0"/>
        <w:pageBreakBefore w:val="0"/>
        <w:widowControl w:val="0"/>
        <w:numPr>
          <w:ilvl w:val="0"/>
          <w:numId w:val="0"/>
        </w:numPr>
        <w:shd w:val="clear"/>
        <w:kinsoku/>
        <w:wordWrap/>
        <w:overflowPunct/>
        <w:topLinePunct w:val="0"/>
        <w:autoSpaceDE/>
        <w:autoSpaceDN/>
        <w:bidi w:val="0"/>
        <w:adjustRightInd/>
        <w:snapToGrid/>
        <w:spacing w:beforeAutospacing="0" w:afterAutospacing="0" w:line="20" w:lineRule="exact"/>
        <w:jc w:val="left"/>
        <w:textAlignment w:val="auto"/>
        <w:rPr>
          <w:rFonts w:hint="default" w:ascii="Times New Roman" w:hAnsi="Times New Roman" w:eastAsia="方正仿宋简体" w:cs="Times New Roman"/>
          <w:b/>
          <w:bCs/>
          <w:sz w:val="32"/>
          <w:szCs w:val="32"/>
          <w:lang w:val="en-US" w:eastAsia="zh-CN"/>
        </w:rPr>
      </w:pPr>
    </w:p>
    <w:sectPr>
      <w:footerReference r:id="rId3" w:type="default"/>
      <w:pgSz w:w="11905" w:h="16838"/>
      <w:pgMar w:top="1701" w:right="1587" w:bottom="1587"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altName w:val="微软雅黑"/>
    <w:panose1 w:val="02000000000000000000"/>
    <w:charset w:val="86"/>
    <w:family w:val="auto"/>
    <w:pitch w:val="default"/>
    <w:sig w:usb0="00000000" w:usb1="00000000" w:usb2="00082016" w:usb3="00000000" w:csb0="00040001"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font>
  <w:font w:name="方正仿宋简体">
    <w:panose1 w:val="02000000000000000000"/>
    <w:charset w:val="86"/>
    <w:family w:val="auto"/>
    <w:pitch w:val="default"/>
    <w:sig w:usb0="A00002BF" w:usb1="184F6CFA" w:usb2="00000012" w:usb3="00000000" w:csb0="0004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黑体简体">
    <w:panose1 w:val="02010601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1</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AB4C156"/>
    <w:multiLevelType w:val="singleLevel"/>
    <w:tmpl w:val="BAB4C156"/>
    <w:lvl w:ilvl="0" w:tentative="0">
      <w:start w:val="3"/>
      <w:numFmt w:val="chineseCounting"/>
      <w:suff w:val="space"/>
      <w:lvlText w:val="第%1章"/>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YyOGFkNmU3ZDc3YjBiZjIzMjY3MjdkNzk0ZjQ2OGIifQ=="/>
  </w:docVars>
  <w:rsids>
    <w:rsidRoot w:val="7822555F"/>
    <w:rsid w:val="03310E27"/>
    <w:rsid w:val="0377607D"/>
    <w:rsid w:val="06CB1F3C"/>
    <w:rsid w:val="0897194E"/>
    <w:rsid w:val="094723B5"/>
    <w:rsid w:val="09FA217A"/>
    <w:rsid w:val="10E33F35"/>
    <w:rsid w:val="12466732"/>
    <w:rsid w:val="14AD29CD"/>
    <w:rsid w:val="183D6DFF"/>
    <w:rsid w:val="18965D25"/>
    <w:rsid w:val="190C6A8C"/>
    <w:rsid w:val="1BA16962"/>
    <w:rsid w:val="1F0028D1"/>
    <w:rsid w:val="21146947"/>
    <w:rsid w:val="214E027C"/>
    <w:rsid w:val="239C43A1"/>
    <w:rsid w:val="24265A72"/>
    <w:rsid w:val="24DC3E0A"/>
    <w:rsid w:val="26B74472"/>
    <w:rsid w:val="27407292"/>
    <w:rsid w:val="29DB468F"/>
    <w:rsid w:val="2F2A6948"/>
    <w:rsid w:val="326E6078"/>
    <w:rsid w:val="383E3621"/>
    <w:rsid w:val="38986F9E"/>
    <w:rsid w:val="39253DCF"/>
    <w:rsid w:val="3A1104EE"/>
    <w:rsid w:val="3B907687"/>
    <w:rsid w:val="3DF02481"/>
    <w:rsid w:val="3E343A8E"/>
    <w:rsid w:val="3F3D4FD7"/>
    <w:rsid w:val="41742C91"/>
    <w:rsid w:val="50757CC5"/>
    <w:rsid w:val="52E754A1"/>
    <w:rsid w:val="53DF114B"/>
    <w:rsid w:val="58D27BA0"/>
    <w:rsid w:val="5916126B"/>
    <w:rsid w:val="611A0F1C"/>
    <w:rsid w:val="613706C4"/>
    <w:rsid w:val="61DB3509"/>
    <w:rsid w:val="667C0B6D"/>
    <w:rsid w:val="670D1CC2"/>
    <w:rsid w:val="673C3DA6"/>
    <w:rsid w:val="67E21868"/>
    <w:rsid w:val="6DE739E2"/>
    <w:rsid w:val="6E0C3A1B"/>
    <w:rsid w:val="70B43322"/>
    <w:rsid w:val="727F4FE2"/>
    <w:rsid w:val="733E433E"/>
    <w:rsid w:val="74C4049E"/>
    <w:rsid w:val="7822555F"/>
    <w:rsid w:val="7AE66012"/>
    <w:rsid w:val="7B650DF2"/>
    <w:rsid w:val="7E2A0D55"/>
    <w:rsid w:val="7F7A26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paragraph" w:styleId="3">
    <w:name w:val="heading 2"/>
    <w:basedOn w:val="1"/>
    <w:next w:val="1"/>
    <w:autoRedefine/>
    <w:unhideWhenUsed/>
    <w:qFormat/>
    <w:uiPriority w:val="0"/>
    <w:pPr>
      <w:keepNext/>
      <w:keepLines/>
      <w:spacing w:before="260" w:beforeLines="0" w:beforeAutospacing="0" w:after="260" w:afterLines="0" w:afterAutospacing="0" w:line="413" w:lineRule="auto"/>
      <w:jc w:val="center"/>
      <w:outlineLvl w:val="1"/>
    </w:pPr>
    <w:rPr>
      <w:rFonts w:ascii="Arial" w:hAnsi="Arial" w:eastAsia="方正小标宋_GBK"/>
      <w:b/>
      <w:sz w:val="44"/>
    </w:rPr>
  </w:style>
  <w:style w:type="character" w:default="1" w:styleId="12">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4">
    <w:name w:val="Normal Indent"/>
    <w:basedOn w:val="1"/>
    <w:next w:val="1"/>
    <w:autoRedefine/>
    <w:qFormat/>
    <w:uiPriority w:val="0"/>
    <w:pPr>
      <w:ind w:firstLine="420"/>
    </w:pPr>
  </w:style>
  <w:style w:type="paragraph" w:styleId="5">
    <w:name w:val="Body Text"/>
    <w:basedOn w:val="1"/>
    <w:next w:val="6"/>
    <w:autoRedefine/>
    <w:qFormat/>
    <w:uiPriority w:val="0"/>
    <w:rPr>
      <w:rFonts w:ascii="Calibri" w:hAnsi="Calibri"/>
      <w:sz w:val="30"/>
    </w:rPr>
  </w:style>
  <w:style w:type="paragraph" w:styleId="6">
    <w:name w:val="Body Text First Indent 2"/>
    <w:basedOn w:val="7"/>
    <w:next w:val="1"/>
    <w:autoRedefine/>
    <w:qFormat/>
    <w:uiPriority w:val="0"/>
    <w:pPr>
      <w:ind w:firstLine="420" w:firstLineChars="200"/>
    </w:pPr>
  </w:style>
  <w:style w:type="paragraph" w:styleId="7">
    <w:name w:val="Body Text Indent"/>
    <w:basedOn w:val="1"/>
    <w:next w:val="4"/>
    <w:autoRedefine/>
    <w:qFormat/>
    <w:uiPriority w:val="0"/>
    <w:pPr>
      <w:spacing w:after="120"/>
      <w:ind w:left="420" w:leftChars="200"/>
    </w:pPr>
  </w:style>
  <w:style w:type="paragraph" w:styleId="8">
    <w:name w:val="footer"/>
    <w:basedOn w:val="1"/>
    <w:autoRedefine/>
    <w:qFormat/>
    <w:uiPriority w:val="0"/>
    <w:pPr>
      <w:tabs>
        <w:tab w:val="center" w:pos="4153"/>
        <w:tab w:val="right" w:pos="8306"/>
      </w:tabs>
      <w:snapToGrid w:val="0"/>
      <w:jc w:val="left"/>
    </w:pPr>
    <w:rPr>
      <w:sz w:val="18"/>
    </w:rPr>
  </w:style>
  <w:style w:type="paragraph" w:styleId="9">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0">
    <w:name w:val="Body Text First Indent"/>
    <w:basedOn w:val="5"/>
    <w:autoRedefine/>
    <w:qFormat/>
    <w:uiPriority w:val="0"/>
    <w:pPr>
      <w:ind w:firstLine="100" w:firstLineChars="100"/>
    </w:pPr>
    <w:rPr>
      <w:rFonts w:ascii="等线" w:eastAsia="等线"/>
    </w:rPr>
  </w:style>
  <w:style w:type="character" w:styleId="13">
    <w:name w:val="Emphasis"/>
    <w:basedOn w:val="12"/>
    <w:autoRedefine/>
    <w:qFormat/>
    <w:uiPriority w:val="0"/>
    <w:rPr>
      <w:color w:val="CC0000"/>
    </w:rPr>
  </w:style>
  <w:style w:type="character" w:styleId="14">
    <w:name w:val="HTML Cite"/>
    <w:basedOn w:val="12"/>
    <w:autoRedefine/>
    <w:qFormat/>
    <w:uiPriority w:val="0"/>
    <w:rPr>
      <w:color w:val="008000"/>
    </w:rPr>
  </w:style>
  <w:style w:type="character" w:customStyle="1" w:styleId="15">
    <w:name w:val="c-icon32"/>
    <w:basedOn w:val="12"/>
    <w:autoRedefine/>
    <w:qFormat/>
    <w:uiPriority w:val="0"/>
  </w:style>
  <w:style w:type="character" w:customStyle="1" w:styleId="16">
    <w:name w:val="hover25"/>
    <w:basedOn w:val="12"/>
    <w:autoRedefine/>
    <w:qFormat/>
    <w:uiPriority w:val="0"/>
  </w:style>
  <w:style w:type="character" w:customStyle="1" w:styleId="17">
    <w:name w:val="hover26"/>
    <w:basedOn w:val="12"/>
    <w:autoRedefine/>
    <w:qFormat/>
    <w:uiPriority w:val="0"/>
    <w:rPr>
      <w:color w:val="315EFB"/>
    </w:rPr>
  </w:style>
  <w:style w:type="character" w:customStyle="1" w:styleId="18">
    <w:name w:val="op_dict3_lineone_result_tip"/>
    <w:basedOn w:val="12"/>
    <w:autoRedefine/>
    <w:qFormat/>
    <w:uiPriority w:val="0"/>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2866</Words>
  <Characters>2926</Characters>
  <Lines>0</Lines>
  <Paragraphs>0</Paragraphs>
  <TotalTime>43</TotalTime>
  <ScaleCrop>false</ScaleCrop>
  <LinksUpToDate>false</LinksUpToDate>
  <CharactersWithSpaces>3021</CharactersWithSpaces>
  <Application>WPS Office_12.1.0.16417_F1E327BC-269C-435d-A152-05C5408002CA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2019-11-27T02:51:00Z</dcterms:created>
  <dc:creator>清华北大随便挑</dc:creator>
  <cp:lastModifiedBy>郭莎莎</cp:lastModifiedBy>
  <cp:lastPrinted>2020-09-23T00:29:00Z</cp:lastPrinted>
  <dcterms:modified xsi:type="dcterms:W3CDTF">2026-08-07T06:35:07Z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2052-12.1.0.16417</vt:lpwstr>
  </property>
  <property fmtid="{D5CDD505-2E9C-101B-9397-08002B2CF9AE}" pid="3" name="ICV">
    <vt:lpwstr>3F89D165590442DC8A70072767457652_13</vt:lpwstr>
  </property>
</Properties>
</file>