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spacing w:val="0"/>
          <w:w w:val="100"/>
          <w:position w:val="0"/>
          <w:sz w:val="44"/>
          <w:szCs w:val="44"/>
        </w:rPr>
        <w:t>关于深入落实电价优惠和公共资源开放</w:t>
      </w:r>
      <w:r>
        <w:rPr>
          <w:rFonts w:hint="eastAsia" w:ascii="方正小标宋简体" w:hAnsi="方正小标宋简体" w:eastAsia="方正小标宋简体" w:cs="方正小标宋简体"/>
          <w:b/>
          <w:bCs/>
          <w:color w:val="000000"/>
          <w:spacing w:val="0"/>
          <w:w w:val="100"/>
          <w:position w:val="0"/>
          <w:sz w:val="44"/>
          <w:szCs w:val="44"/>
        </w:rPr>
        <w:br w:type="textWrapping"/>
      </w:r>
      <w:r>
        <w:rPr>
          <w:rFonts w:hint="eastAsia" w:ascii="方正小标宋简体" w:hAnsi="方正小标宋简体" w:eastAsia="方正小标宋简体" w:cs="方正小标宋简体"/>
          <w:b/>
          <w:bCs/>
          <w:color w:val="000000"/>
          <w:spacing w:val="0"/>
          <w:w w:val="100"/>
          <w:position w:val="0"/>
          <w:sz w:val="44"/>
          <w:szCs w:val="44"/>
        </w:rPr>
        <w:t>加快我市</w:t>
      </w:r>
      <w:r>
        <w:rPr>
          <w:rFonts w:hint="eastAsia" w:ascii="方正小标宋简体" w:hAnsi="方正小标宋简体" w:eastAsia="方正小标宋简体" w:cs="方正小标宋简体"/>
          <w:b/>
          <w:bCs/>
          <w:color w:val="000000"/>
          <w:spacing w:val="0"/>
          <w:w w:val="100"/>
          <w:position w:val="0"/>
          <w:sz w:val="44"/>
          <w:szCs w:val="44"/>
          <w:lang w:val="en-US" w:eastAsia="en-US" w:bidi="en-US"/>
        </w:rPr>
        <w:t>5G</w:t>
      </w:r>
      <w:r>
        <w:rPr>
          <w:rFonts w:hint="eastAsia" w:ascii="方正小标宋简体" w:hAnsi="方正小标宋简体" w:eastAsia="方正小标宋简体" w:cs="方正小标宋简体"/>
          <w:b/>
          <w:bCs/>
          <w:color w:val="000000"/>
          <w:spacing w:val="0"/>
          <w:w w:val="100"/>
          <w:position w:val="0"/>
          <w:sz w:val="44"/>
          <w:szCs w:val="44"/>
        </w:rPr>
        <w:t>基站建设的通知</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sz w:val="32"/>
          <w:szCs w:val="32"/>
        </w:rPr>
      </w:pPr>
      <w:bookmarkStart w:id="23" w:name="_GoBack"/>
      <w:r>
        <w:rPr>
          <w:rFonts w:hint="eastAsia" w:ascii="方正仿宋简体" w:hAnsi="方正仿宋简体" w:eastAsia="方正仿宋简体" w:cs="方正仿宋简体"/>
          <w:b/>
          <w:bCs/>
          <w:color w:val="000000"/>
          <w:spacing w:val="0"/>
          <w:w w:val="100"/>
          <w:position w:val="0"/>
          <w:sz w:val="32"/>
          <w:szCs w:val="32"/>
        </w:rPr>
        <w:t>各县（市、区）工业和信息化局、发展和改革局、教育体育局、科学技术局、自然资源和规划局、住房城乡建设局、城市管理局、交通运输局、文化和旅游局、卫生健康局、国资监管机构、行政审批服务局、市场监管局，机关事务服务中心、大数据中心，国网济宁供电公司各县（市、区）供电公司，中国联通济宁市分公司、中国移动济宁分公司、中国电信济宁分公司、中国铁塔济宁市分公司、山东广电网络有限公司济宁分公司：</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pacing w:val="0"/>
          <w:w w:val="100"/>
          <w:position w:val="0"/>
          <w:sz w:val="32"/>
          <w:szCs w:val="32"/>
        </w:rPr>
        <w:t>为深入贯彻落实山东省</w:t>
      </w:r>
      <w:r>
        <w:rPr>
          <w:rFonts w:hint="eastAsia" w:ascii="方正仿宋简体" w:hAnsi="方正仿宋简体" w:eastAsia="方正仿宋简体" w:cs="方正仿宋简体"/>
          <w:b/>
          <w:bCs/>
          <w:color w:val="000000"/>
          <w:spacing w:val="0"/>
          <w:w w:val="100"/>
          <w:position w:val="0"/>
          <w:sz w:val="32"/>
          <w:szCs w:val="32"/>
        </w:rPr>
        <w:t>17</w:t>
      </w:r>
      <w:r>
        <w:rPr>
          <w:rFonts w:hint="eastAsia" w:ascii="方正仿宋简体" w:hAnsi="方正仿宋简体" w:eastAsia="方正仿宋简体" w:cs="方正仿宋简体"/>
          <w:b/>
          <w:bCs/>
          <w:color w:val="000000"/>
          <w:spacing w:val="0"/>
          <w:w w:val="100"/>
          <w:position w:val="0"/>
          <w:sz w:val="32"/>
          <w:szCs w:val="32"/>
        </w:rPr>
        <w:t>部门《关于深入落实电价优惠和公共资源开放加快我省</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基站建设的通知》（鲁工信工联〔</w:t>
      </w:r>
      <w:r>
        <w:rPr>
          <w:rFonts w:hint="eastAsia" w:ascii="方正仿宋简体" w:hAnsi="方正仿宋简体" w:eastAsia="方正仿宋简体" w:cs="方正仿宋简体"/>
          <w:b/>
          <w:bCs/>
          <w:color w:val="000000"/>
          <w:spacing w:val="0"/>
          <w:w w:val="100"/>
          <w:position w:val="0"/>
          <w:sz w:val="32"/>
          <w:szCs w:val="32"/>
        </w:rPr>
        <w:t>2020</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60</w:t>
      </w:r>
      <w:r>
        <w:rPr>
          <w:rFonts w:hint="eastAsia" w:ascii="方正仿宋简体" w:hAnsi="方正仿宋简体" w:eastAsia="方正仿宋简体" w:cs="方正仿宋简体"/>
          <w:b/>
          <w:bCs/>
          <w:color w:val="000000"/>
          <w:spacing w:val="0"/>
          <w:w w:val="100"/>
          <w:position w:val="0"/>
          <w:sz w:val="32"/>
          <w:szCs w:val="32"/>
        </w:rPr>
        <w:t>号）、山东省</w:t>
      </w:r>
      <w:r>
        <w:rPr>
          <w:rFonts w:hint="eastAsia" w:ascii="方正仿宋简体" w:hAnsi="方正仿宋简体" w:eastAsia="方正仿宋简体" w:cs="方正仿宋简体"/>
          <w:b/>
          <w:bCs/>
          <w:color w:val="000000"/>
          <w:spacing w:val="0"/>
          <w:w w:val="100"/>
          <w:position w:val="0"/>
          <w:sz w:val="32"/>
          <w:szCs w:val="32"/>
        </w:rPr>
        <w:t>9</w:t>
      </w:r>
      <w:r>
        <w:rPr>
          <w:rFonts w:hint="eastAsia" w:ascii="方正仿宋简体" w:hAnsi="方正仿宋简体" w:eastAsia="方正仿宋简体" w:cs="方正仿宋简体"/>
          <w:b/>
          <w:bCs/>
          <w:color w:val="000000"/>
          <w:spacing w:val="0"/>
          <w:w w:val="100"/>
          <w:position w:val="0"/>
          <w:sz w:val="32"/>
          <w:szCs w:val="32"/>
        </w:rPr>
        <w:t>部门《关于统筹共享社会挂高资源与通信铁塔资源促进我省移动通信建设的通知》（鲁经信信推〔</w:t>
      </w:r>
      <w:r>
        <w:rPr>
          <w:rFonts w:hint="eastAsia" w:ascii="方正仿宋简体" w:hAnsi="方正仿宋简体" w:eastAsia="方正仿宋简体" w:cs="方正仿宋简体"/>
          <w:b/>
          <w:bCs/>
          <w:color w:val="000000"/>
          <w:spacing w:val="0"/>
          <w:w w:val="100"/>
          <w:position w:val="0"/>
          <w:sz w:val="32"/>
          <w:szCs w:val="32"/>
        </w:rPr>
        <w:t>2018</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23</w:t>
      </w:r>
      <w:r>
        <w:rPr>
          <w:rFonts w:hint="eastAsia" w:ascii="方正仿宋简体" w:hAnsi="方正仿宋简体" w:eastAsia="方正仿宋简体" w:cs="方正仿宋简体"/>
          <w:b/>
          <w:bCs/>
          <w:color w:val="000000"/>
          <w:spacing w:val="0"/>
          <w:w w:val="100"/>
          <w:position w:val="0"/>
          <w:sz w:val="32"/>
          <w:szCs w:val="32"/>
        </w:rPr>
        <w:t>号），《济宁市人民政府关于加大公共资源开放力度推进移动通信基础设施共建共享的通知》（济政字〔</w:t>
      </w:r>
      <w:r>
        <w:rPr>
          <w:rFonts w:hint="eastAsia" w:ascii="方正仿宋简体" w:hAnsi="方正仿宋简体" w:eastAsia="方正仿宋简体" w:cs="方正仿宋简体"/>
          <w:b/>
          <w:bCs/>
          <w:color w:val="000000"/>
          <w:spacing w:val="0"/>
          <w:w w:val="100"/>
          <w:position w:val="0"/>
          <w:sz w:val="32"/>
          <w:szCs w:val="32"/>
        </w:rPr>
        <w:t>2018</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30</w:t>
      </w:r>
      <w:r>
        <w:rPr>
          <w:rFonts w:hint="eastAsia" w:ascii="方正仿宋简体" w:hAnsi="方正仿宋简体" w:eastAsia="方正仿宋简体" w:cs="方正仿宋简体"/>
          <w:b/>
          <w:bCs/>
          <w:color w:val="000000"/>
          <w:spacing w:val="0"/>
          <w:w w:val="100"/>
          <w:position w:val="0"/>
          <w:sz w:val="32"/>
          <w:szCs w:val="32"/>
        </w:rPr>
        <w:t>号）等文件要求，深入落实电价优惠和公共资源开放，加快推进我市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通信基础设施建设，现将有关事项通知如下：</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color w:val="000000"/>
          <w:spacing w:val="0"/>
          <w:w w:val="100"/>
          <w:position w:val="0"/>
          <w:sz w:val="32"/>
          <w:szCs w:val="32"/>
          <w:lang w:val="en-US" w:eastAsia="en-US" w:bidi="en-US"/>
        </w:rPr>
        <w:t>—</w:t>
      </w:r>
      <w:r>
        <w:rPr>
          <w:rFonts w:hint="eastAsia" w:ascii="黑体" w:hAnsi="黑体" w:eastAsia="黑体" w:cs="黑体"/>
          <w:b/>
          <w:bCs/>
          <w:color w:val="000000"/>
          <w:spacing w:val="0"/>
          <w:w w:val="100"/>
          <w:position w:val="0"/>
          <w:sz w:val="32"/>
          <w:szCs w:val="32"/>
        </w:rPr>
        <w:t>、加快推进直供电改造</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0" w:name="bookmark0"/>
      <w:bookmarkEnd w:id="0"/>
      <w:r>
        <w:rPr>
          <w:rFonts w:hint="eastAsia" w:ascii="方正仿宋简体" w:hAnsi="方正仿宋简体" w:eastAsia="方正仿宋简体" w:cs="方正仿宋简体"/>
          <w:b/>
          <w:bCs/>
          <w:color w:val="000000"/>
          <w:spacing w:val="0"/>
          <w:w w:val="100"/>
          <w:position w:val="0"/>
          <w:sz w:val="32"/>
          <w:szCs w:val="32"/>
        </w:rPr>
        <w:t>建立直供电改造推进机制。各级电网企业要与当地铁塔公司建立常态化的直供电改造推进机制，强化对接沟通，根据铁塔公司提供的现有非直供</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基站（包括宏站、室内分布系统等，下同）信息，做好现场勘察和接电服务工作。电网企业根据配变分布和</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基站规划布点情况，制定</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基站转改直“一站一策”，对满足直接接入条件的，实行低压就近接入；对地处偏远区域不具备直接接入条件的，按照专变方式接入。（市能源局，国网济宁供电公司）</w:t>
      </w:r>
    </w:p>
    <w:p>
      <w:pPr>
        <w:pStyle w:val="7"/>
        <w:keepNext w:val="0"/>
        <w:keepLines w:val="0"/>
        <w:pageBreakBefore w:val="0"/>
        <w:widowControl w:val="0"/>
        <w:numPr>
          <w:ilvl w:val="0"/>
          <w:numId w:val="1"/>
        </w:numPr>
        <w:shd w:val="clear" w:color="auto" w:fill="auto"/>
        <w:tabs>
          <w:tab w:val="left" w:pos="1127"/>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 w:name="bookmark1"/>
      <w:bookmarkEnd w:id="1"/>
      <w:r>
        <w:rPr>
          <w:rFonts w:hint="eastAsia" w:ascii="方正仿宋简体" w:hAnsi="方正仿宋简体" w:eastAsia="方正仿宋简体" w:cs="方正仿宋简体"/>
          <w:b/>
          <w:bCs/>
          <w:color w:val="000000"/>
          <w:spacing w:val="0"/>
          <w:w w:val="100"/>
          <w:position w:val="0"/>
          <w:sz w:val="32"/>
          <w:szCs w:val="32"/>
        </w:rPr>
        <w:t>结合老旧小区改造实施。根据各地老旧小区改造计划，当地电网企业在进行小区供电设施改造的同时，对老旧小区内或附近具备条件的基站，协助铁塔公司实施直供电改造。（市工业和信息化局、市住房和城乡建设局，国网济宁供电公司）</w:t>
      </w:r>
    </w:p>
    <w:p>
      <w:pPr>
        <w:pStyle w:val="7"/>
        <w:keepNext w:val="0"/>
        <w:keepLines w:val="0"/>
        <w:pageBreakBefore w:val="0"/>
        <w:widowControl w:val="0"/>
        <w:numPr>
          <w:ilvl w:val="0"/>
          <w:numId w:val="1"/>
        </w:numPr>
        <w:shd w:val="clear" w:color="auto" w:fill="auto"/>
        <w:tabs>
          <w:tab w:val="left" w:pos="1127"/>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2" w:name="bookmark2"/>
      <w:bookmarkEnd w:id="2"/>
      <w:r>
        <w:rPr>
          <w:rFonts w:hint="eastAsia" w:ascii="方正仿宋简体" w:hAnsi="方正仿宋简体" w:eastAsia="方正仿宋简体" w:cs="方正仿宋简体"/>
          <w:b/>
          <w:bCs/>
          <w:color w:val="000000"/>
          <w:spacing w:val="0"/>
          <w:w w:val="100"/>
          <w:position w:val="0"/>
          <w:sz w:val="32"/>
          <w:szCs w:val="32"/>
        </w:rPr>
        <w:t>推广电费集中结算月艮务。已经由电网企业直接抄表收费的基站用电，统一实行集团户结算管理。各级电网企业积极与铁塔公司对接，全面摸排辖区内用电户号、户名、用电地址、电费抄表例日、交费截止日期等信息，双方共同确定统一交费的客户明细，并重新签订电费交纳补充协议，进一步明确电费通知、电费交纳方式等事项，确保县级以上区域的铁塔公司用电电费统一结算、统一告知、统一催交。对存量高压接入的</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基站，全量纳入电力市场交易，直供低压</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基站根据我市发用电计划放开工作安排适时纳入市场交易。（市能源局，国网济宁供电公司）</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i w:val="0"/>
          <w:iCs w:val="0"/>
          <w:smallCaps w:val="0"/>
          <w:strike w:val="0"/>
          <w:color w:val="000000"/>
          <w:spacing w:val="0"/>
          <w:w w:val="100"/>
          <w:position w:val="0"/>
          <w:sz w:val="32"/>
          <w:szCs w:val="32"/>
          <w:lang w:val="en-US" w:eastAsia="en-US" w:bidi="en-US"/>
        </w:rPr>
      </w:pPr>
      <w:bookmarkStart w:id="3" w:name="bookmark3"/>
      <w:r>
        <w:rPr>
          <w:rFonts w:hint="eastAsia" w:ascii="黑体" w:hAnsi="黑体" w:eastAsia="黑体" w:cs="黑体"/>
          <w:b/>
          <w:bCs/>
          <w:i w:val="0"/>
          <w:iCs w:val="0"/>
          <w:smallCaps w:val="0"/>
          <w:strike w:val="0"/>
          <w:color w:val="000000"/>
          <w:spacing w:val="0"/>
          <w:w w:val="100"/>
          <w:position w:val="0"/>
          <w:sz w:val="32"/>
          <w:szCs w:val="32"/>
          <w:lang w:val="en-US" w:eastAsia="en-US" w:bidi="en-US"/>
        </w:rPr>
        <w:t>二</w:t>
      </w:r>
      <w:bookmarkEnd w:id="3"/>
      <w:r>
        <w:rPr>
          <w:rFonts w:hint="eastAsia" w:ascii="黑体" w:hAnsi="黑体" w:eastAsia="黑体" w:cs="黑体"/>
          <w:b/>
          <w:bCs/>
          <w:i w:val="0"/>
          <w:iCs w:val="0"/>
          <w:smallCaps w:val="0"/>
          <w:strike w:val="0"/>
          <w:color w:val="000000"/>
          <w:spacing w:val="0"/>
          <w:w w:val="100"/>
          <w:position w:val="0"/>
          <w:sz w:val="32"/>
          <w:szCs w:val="32"/>
          <w:lang w:val="en-US" w:eastAsia="en-US" w:bidi="en-US"/>
        </w:rPr>
        <w:t>、加大对落实转供电电价政策的监督检查力度</w:t>
      </w:r>
    </w:p>
    <w:p>
      <w:pPr>
        <w:pStyle w:val="7"/>
        <w:keepNext w:val="0"/>
        <w:keepLines w:val="0"/>
        <w:pageBreakBefore w:val="0"/>
        <w:widowControl w:val="0"/>
        <w:numPr>
          <w:ilvl w:val="0"/>
          <w:numId w:val="1"/>
        </w:numPr>
        <w:shd w:val="clear" w:color="auto" w:fill="auto"/>
        <w:tabs>
          <w:tab w:val="left" w:pos="1127"/>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4" w:name="bookmark4"/>
      <w:bookmarkEnd w:id="4"/>
      <w:r>
        <w:rPr>
          <w:rFonts w:hint="eastAsia" w:ascii="方正仿宋简体" w:hAnsi="方正仿宋简体" w:eastAsia="方正仿宋简体" w:cs="方正仿宋简体"/>
          <w:b/>
          <w:bCs/>
          <w:color w:val="000000"/>
          <w:spacing w:val="0"/>
          <w:w w:val="100"/>
          <w:position w:val="0"/>
          <w:sz w:val="32"/>
          <w:szCs w:val="32"/>
        </w:rPr>
        <w:t>重点查处转供电单位对</w:t>
      </w:r>
      <w:r>
        <w:rPr>
          <w:rFonts w:hint="eastAsia" w:ascii="方正仿宋简体" w:hAnsi="方正仿宋简体" w:eastAsia="方正仿宋简体" w:cs="方正仿宋简体"/>
          <w:b/>
          <w:bCs/>
          <w:color w:val="000000"/>
          <w:spacing w:val="0"/>
          <w:w w:val="100"/>
          <w:position w:val="0"/>
          <w:sz w:val="32"/>
          <w:szCs w:val="32"/>
          <w:lang w:val="zh-CN" w:eastAsia="zh-CN" w:bidi="zh-CN"/>
        </w:rPr>
        <w:t>“后付</w:t>
      </w:r>
      <w:r>
        <w:rPr>
          <w:rFonts w:hint="eastAsia" w:ascii="方正仿宋简体" w:hAnsi="方正仿宋简体" w:eastAsia="方正仿宋简体" w:cs="方正仿宋简体"/>
          <w:b/>
          <w:bCs/>
          <w:color w:val="000000"/>
          <w:spacing w:val="0"/>
          <w:w w:val="100"/>
          <w:position w:val="0"/>
          <w:sz w:val="32"/>
          <w:szCs w:val="32"/>
        </w:rPr>
        <w:t>费”用户的价格违法行为。转供电单位对峰谷分时电表以外的其他非直抄用户，除损耗费用外，不得随电费加收其他任何费用，非直抄用户当月到户电价=转供电单位与电网企业当月结算平均电价/</w:t>
      </w:r>
      <w:r>
        <w:rPr>
          <w:rFonts w:hint="eastAsia" w:ascii="方正仿宋简体" w:hAnsi="方正仿宋简体" w:eastAsia="方正仿宋简体" w:cs="方正仿宋简体"/>
          <w:b/>
          <w:bCs/>
          <w:color w:val="000000"/>
          <w:spacing w:val="0"/>
          <w:w w:val="100"/>
          <w:position w:val="0"/>
          <w:sz w:val="32"/>
          <w:szCs w:val="32"/>
        </w:rPr>
        <w:t>（1</w:t>
      </w:r>
      <w:r>
        <w:rPr>
          <w:rFonts w:hint="eastAsia" w:ascii="方正仿宋简体" w:hAnsi="方正仿宋简体" w:eastAsia="方正仿宋简体" w:cs="方正仿宋简体"/>
          <w:b/>
          <w:bCs/>
          <w:color w:val="000000"/>
          <w:spacing w:val="0"/>
          <w:w w:val="100"/>
          <w:position w:val="0"/>
          <w:sz w:val="32"/>
          <w:szCs w:val="32"/>
        </w:rPr>
        <w:t>-损耗率）。损耗率最高不得超过</w:t>
      </w:r>
      <w:r>
        <w:rPr>
          <w:rFonts w:hint="eastAsia" w:ascii="方正仿宋简体" w:hAnsi="方正仿宋简体" w:eastAsia="方正仿宋简体" w:cs="方正仿宋简体"/>
          <w:b/>
          <w:bCs/>
          <w:color w:val="000000"/>
          <w:spacing w:val="0"/>
          <w:w w:val="100"/>
          <w:position w:val="0"/>
          <w:sz w:val="32"/>
          <w:szCs w:val="32"/>
        </w:rPr>
        <w:t>12%</w:t>
      </w:r>
      <w:r>
        <w:rPr>
          <w:rFonts w:hint="eastAsia" w:ascii="方正仿宋简体" w:hAnsi="方正仿宋简体" w:eastAsia="方正仿宋简体" w:cs="方正仿宋简体"/>
          <w:b/>
          <w:bCs/>
          <w:color w:val="000000"/>
          <w:spacing w:val="0"/>
          <w:w w:val="100"/>
          <w:position w:val="0"/>
          <w:sz w:val="32"/>
          <w:szCs w:val="32"/>
          <w:lang w:val="en-US" w:eastAsia="en-US" w:bidi="en-US"/>
        </w:rPr>
        <w:t>o</w:t>
      </w:r>
      <w:r>
        <w:rPr>
          <w:rFonts w:hint="eastAsia" w:ascii="方正仿宋简体" w:hAnsi="方正仿宋简体" w:eastAsia="方正仿宋简体" w:cs="方正仿宋简体"/>
          <w:b/>
          <w:bCs/>
          <w:color w:val="000000"/>
          <w:spacing w:val="0"/>
          <w:w w:val="100"/>
          <w:position w:val="0"/>
          <w:sz w:val="32"/>
          <w:szCs w:val="32"/>
        </w:rPr>
        <w:t>（市市场监管局、市发展改革委）</w:t>
      </w:r>
    </w:p>
    <w:p>
      <w:pPr>
        <w:pStyle w:val="7"/>
        <w:keepNext w:val="0"/>
        <w:keepLines w:val="0"/>
        <w:pageBreakBefore w:val="0"/>
        <w:widowControl w:val="0"/>
        <w:numPr>
          <w:ilvl w:val="0"/>
          <w:numId w:val="1"/>
        </w:numPr>
        <w:shd w:val="clear" w:color="auto" w:fill="auto"/>
        <w:tabs>
          <w:tab w:val="left" w:pos="1127"/>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5" w:name="bookmark5"/>
      <w:bookmarkEnd w:id="5"/>
      <w:r>
        <w:rPr>
          <w:rFonts w:hint="eastAsia" w:ascii="方正仿宋简体" w:hAnsi="方正仿宋简体" w:eastAsia="方正仿宋简体" w:cs="方正仿宋简体"/>
          <w:b/>
          <w:bCs/>
          <w:color w:val="000000"/>
          <w:spacing w:val="0"/>
          <w:w w:val="100"/>
          <w:position w:val="0"/>
          <w:sz w:val="32"/>
          <w:szCs w:val="32"/>
        </w:rPr>
        <w:t>加强对“预付费”用户的价格监督检查。对采用</w:t>
      </w:r>
      <w:r>
        <w:rPr>
          <w:rFonts w:hint="eastAsia" w:ascii="方正仿宋简体" w:hAnsi="方正仿宋简体" w:eastAsia="方正仿宋简体" w:cs="方正仿宋简体"/>
          <w:b/>
          <w:bCs/>
          <w:color w:val="000000"/>
          <w:spacing w:val="0"/>
          <w:w w:val="100"/>
          <w:position w:val="0"/>
          <w:sz w:val="32"/>
          <w:szCs w:val="32"/>
          <w:lang w:val="zh-CN" w:eastAsia="zh-CN" w:bidi="zh-CN"/>
        </w:rPr>
        <w:t>“先</w:t>
      </w:r>
      <w:r>
        <w:rPr>
          <w:rFonts w:hint="eastAsia" w:ascii="方正仿宋简体" w:hAnsi="方正仿宋简体" w:eastAsia="方正仿宋简体" w:cs="方正仿宋简体"/>
          <w:b/>
          <w:bCs/>
          <w:color w:val="000000"/>
          <w:spacing w:val="0"/>
          <w:w w:val="100"/>
          <w:position w:val="0"/>
          <w:sz w:val="32"/>
          <w:szCs w:val="32"/>
        </w:rPr>
        <w:t>购电、后用电</w:t>
      </w:r>
      <w:r>
        <w:rPr>
          <w:rFonts w:hint="eastAsia" w:ascii="方正仿宋简体" w:hAnsi="方正仿宋简体" w:eastAsia="方正仿宋简体" w:cs="方正仿宋简体"/>
          <w:b/>
          <w:bCs/>
          <w:color w:val="000000"/>
          <w:spacing w:val="0"/>
          <w:w w:val="100"/>
          <w:position w:val="0"/>
          <w:sz w:val="32"/>
          <w:szCs w:val="32"/>
          <w:lang w:val="zh-CN" w:eastAsia="zh-CN" w:bidi="zh-CN"/>
        </w:rPr>
        <w:t>”电费</w:t>
      </w:r>
      <w:r>
        <w:rPr>
          <w:rFonts w:hint="eastAsia" w:ascii="方正仿宋简体" w:hAnsi="方正仿宋简体" w:eastAsia="方正仿宋简体" w:cs="方正仿宋简体"/>
          <w:b/>
          <w:bCs/>
          <w:color w:val="000000"/>
          <w:spacing w:val="0"/>
          <w:w w:val="100"/>
          <w:position w:val="0"/>
          <w:sz w:val="32"/>
          <w:szCs w:val="32"/>
        </w:rPr>
        <w:t>收取方式的，</w:t>
      </w:r>
      <w:r>
        <w:rPr>
          <w:rFonts w:hint="eastAsia" w:ascii="方正仿宋简体" w:hAnsi="方正仿宋简体" w:eastAsia="方正仿宋简体" w:cs="方正仿宋简体"/>
          <w:b/>
          <w:bCs/>
          <w:color w:val="000000"/>
          <w:spacing w:val="0"/>
          <w:w w:val="100"/>
          <w:position w:val="0"/>
          <w:sz w:val="32"/>
          <w:szCs w:val="32"/>
          <w:lang w:val="zh-CN" w:eastAsia="zh-CN" w:bidi="zh-CN"/>
        </w:rPr>
        <w:t>“预购</w:t>
      </w:r>
      <w:r>
        <w:rPr>
          <w:rFonts w:hint="eastAsia" w:ascii="方正仿宋简体" w:hAnsi="方正仿宋简体" w:eastAsia="方正仿宋简体" w:cs="方正仿宋简体"/>
          <w:b/>
          <w:bCs/>
          <w:color w:val="000000"/>
          <w:spacing w:val="0"/>
          <w:w w:val="100"/>
          <w:position w:val="0"/>
          <w:sz w:val="32"/>
          <w:szCs w:val="32"/>
        </w:rPr>
        <w:t>电价”标准不得高于我省工商及其他用电类别单一制电价不满</w:t>
      </w:r>
      <w:r>
        <w:rPr>
          <w:rFonts w:hint="eastAsia" w:ascii="方正仿宋简体" w:hAnsi="方正仿宋简体" w:eastAsia="方正仿宋简体" w:cs="方正仿宋简体"/>
          <w:b/>
          <w:bCs/>
          <w:color w:val="000000"/>
          <w:spacing w:val="0"/>
          <w:w w:val="100"/>
          <w:position w:val="0"/>
          <w:sz w:val="32"/>
          <w:szCs w:val="32"/>
        </w:rPr>
        <w:t>1</w:t>
      </w:r>
      <w:r>
        <w:rPr>
          <w:rFonts w:hint="eastAsia" w:ascii="方正仿宋简体" w:hAnsi="方正仿宋简体" w:eastAsia="方正仿宋简体" w:cs="方正仿宋简体"/>
          <w:b/>
          <w:bCs/>
          <w:color w:val="000000"/>
          <w:spacing w:val="0"/>
          <w:w w:val="100"/>
          <w:position w:val="0"/>
          <w:sz w:val="32"/>
          <w:szCs w:val="32"/>
        </w:rPr>
        <w:t>千伏电压等级高峰时段电度电价（现行标准为每千瓦时</w:t>
      </w:r>
      <w:r>
        <w:rPr>
          <w:rFonts w:hint="eastAsia" w:ascii="方正仿宋简体" w:hAnsi="方正仿宋简体" w:eastAsia="方正仿宋简体" w:cs="方正仿宋简体"/>
          <w:b/>
          <w:bCs/>
          <w:color w:val="000000"/>
          <w:spacing w:val="0"/>
          <w:w w:val="100"/>
          <w:position w:val="0"/>
          <w:sz w:val="32"/>
          <w:szCs w:val="32"/>
          <w:lang w:val="en-US" w:eastAsia="en-US" w:bidi="en-US"/>
        </w:rPr>
        <w:t>0.9203</w:t>
      </w:r>
      <w:r>
        <w:rPr>
          <w:rFonts w:hint="eastAsia" w:ascii="方正仿宋简体" w:hAnsi="方正仿宋简体" w:eastAsia="方正仿宋简体" w:cs="方正仿宋简体"/>
          <w:b/>
          <w:bCs/>
          <w:color w:val="000000"/>
          <w:spacing w:val="0"/>
          <w:w w:val="100"/>
          <w:position w:val="0"/>
          <w:sz w:val="32"/>
          <w:szCs w:val="32"/>
        </w:rPr>
        <w:t>元，</w:t>
      </w:r>
      <w:r>
        <w:rPr>
          <w:rFonts w:hint="eastAsia" w:ascii="方正仿宋简体" w:hAnsi="方正仿宋简体" w:eastAsia="方正仿宋简体" w:cs="方正仿宋简体"/>
          <w:b/>
          <w:bCs/>
          <w:color w:val="000000"/>
          <w:spacing w:val="0"/>
          <w:w w:val="100"/>
          <w:position w:val="0"/>
          <w:sz w:val="32"/>
          <w:szCs w:val="32"/>
        </w:rPr>
        <w:t>2020</w:t>
      </w:r>
      <w:r>
        <w:rPr>
          <w:rFonts w:hint="eastAsia" w:ascii="方正仿宋简体" w:hAnsi="方正仿宋简体" w:eastAsia="方正仿宋简体" w:cs="方正仿宋简体"/>
          <w:b/>
          <w:bCs/>
          <w:color w:val="000000"/>
          <w:spacing w:val="0"/>
          <w:w w:val="100"/>
          <w:position w:val="0"/>
          <w:sz w:val="32"/>
          <w:szCs w:val="32"/>
        </w:rPr>
        <w:t>年</w:t>
      </w:r>
      <w:r>
        <w:rPr>
          <w:rFonts w:hint="eastAsia" w:ascii="方正仿宋简体" w:hAnsi="方正仿宋简体" w:eastAsia="方正仿宋简体" w:cs="方正仿宋简体"/>
          <w:b/>
          <w:bCs/>
          <w:color w:val="000000"/>
          <w:spacing w:val="0"/>
          <w:w w:val="100"/>
          <w:position w:val="0"/>
          <w:sz w:val="32"/>
          <w:szCs w:val="32"/>
        </w:rPr>
        <w:t>2</w:t>
      </w:r>
      <w:r>
        <w:rPr>
          <w:rFonts w:hint="eastAsia" w:ascii="方正仿宋简体" w:hAnsi="方正仿宋简体" w:eastAsia="方正仿宋简体" w:cs="方正仿宋简体"/>
          <w:b/>
          <w:bCs/>
          <w:color w:val="000000"/>
          <w:spacing w:val="0"/>
          <w:w w:val="100"/>
          <w:position w:val="0"/>
          <w:sz w:val="32"/>
          <w:szCs w:val="32"/>
        </w:rPr>
        <w:t>月</w:t>
      </w:r>
      <w:r>
        <w:rPr>
          <w:rFonts w:hint="eastAsia" w:ascii="方正仿宋简体" w:hAnsi="方正仿宋简体" w:eastAsia="方正仿宋简体" w:cs="方正仿宋简体"/>
          <w:b/>
          <w:bCs/>
          <w:color w:val="000000"/>
          <w:spacing w:val="0"/>
          <w:w w:val="100"/>
          <w:position w:val="0"/>
          <w:sz w:val="32"/>
          <w:szCs w:val="32"/>
        </w:rPr>
        <w:t>1</w:t>
      </w:r>
      <w:r>
        <w:rPr>
          <w:rFonts w:hint="eastAsia" w:ascii="方正仿宋简体" w:hAnsi="方正仿宋简体" w:eastAsia="方正仿宋简体" w:cs="方正仿宋简体"/>
          <w:b/>
          <w:bCs/>
          <w:color w:val="000000"/>
          <w:spacing w:val="0"/>
          <w:w w:val="100"/>
          <w:position w:val="0"/>
          <w:sz w:val="32"/>
          <w:szCs w:val="32"/>
        </w:rPr>
        <w:t>日</w:t>
      </w:r>
      <w:r>
        <w:rPr>
          <w:rFonts w:hint="eastAsia" w:ascii="方正仿宋简体" w:hAnsi="方正仿宋简体" w:eastAsia="方正仿宋简体" w:cs="方正仿宋简体"/>
          <w:b/>
          <w:bCs/>
          <w:color w:val="000000"/>
          <w:spacing w:val="0"/>
          <w:w w:val="100"/>
          <w:position w:val="0"/>
          <w:sz w:val="32"/>
          <w:szCs w:val="32"/>
          <w:lang w:val="en-US" w:eastAsia="en-US" w:bidi="en-US"/>
        </w:rPr>
        <w:t>-6</w:t>
      </w:r>
      <w:r>
        <w:rPr>
          <w:rFonts w:hint="eastAsia" w:ascii="方正仿宋简体" w:hAnsi="方正仿宋简体" w:eastAsia="方正仿宋简体" w:cs="方正仿宋简体"/>
          <w:b/>
          <w:bCs/>
          <w:color w:val="000000"/>
          <w:spacing w:val="0"/>
          <w:w w:val="100"/>
          <w:position w:val="0"/>
          <w:sz w:val="32"/>
          <w:szCs w:val="32"/>
        </w:rPr>
        <w:t>月</w:t>
      </w:r>
      <w:r>
        <w:rPr>
          <w:rFonts w:hint="eastAsia" w:ascii="方正仿宋简体" w:hAnsi="方正仿宋简体" w:eastAsia="方正仿宋简体" w:cs="方正仿宋简体"/>
          <w:b/>
          <w:bCs/>
          <w:color w:val="000000"/>
          <w:spacing w:val="0"/>
          <w:w w:val="100"/>
          <w:position w:val="0"/>
          <w:sz w:val="32"/>
          <w:szCs w:val="32"/>
        </w:rPr>
        <w:t>30</w:t>
      </w:r>
      <w:r>
        <w:rPr>
          <w:rFonts w:hint="eastAsia" w:ascii="方正仿宋简体" w:hAnsi="方正仿宋简体" w:eastAsia="方正仿宋简体" w:cs="方正仿宋简体"/>
          <w:b/>
          <w:bCs/>
          <w:color w:val="000000"/>
          <w:spacing w:val="0"/>
          <w:w w:val="100"/>
          <w:position w:val="0"/>
          <w:sz w:val="32"/>
          <w:szCs w:val="32"/>
        </w:rPr>
        <w:t>日标准为每千瓦时</w:t>
      </w:r>
      <w:r>
        <w:rPr>
          <w:rFonts w:hint="eastAsia" w:ascii="方正仿宋简体" w:hAnsi="方正仿宋简体" w:eastAsia="方正仿宋简体" w:cs="方正仿宋简体"/>
          <w:b/>
          <w:bCs/>
          <w:color w:val="000000"/>
          <w:spacing w:val="0"/>
          <w:w w:val="100"/>
          <w:position w:val="0"/>
          <w:sz w:val="32"/>
          <w:szCs w:val="32"/>
          <w:lang w:val="en-US" w:eastAsia="en-US" w:bidi="en-US"/>
        </w:rPr>
        <w:t>0.8743</w:t>
      </w:r>
      <w:r>
        <w:rPr>
          <w:rFonts w:hint="eastAsia" w:ascii="方正仿宋简体" w:hAnsi="方正仿宋简体" w:eastAsia="方正仿宋简体" w:cs="方正仿宋简体"/>
          <w:b/>
          <w:bCs/>
          <w:color w:val="000000"/>
          <w:spacing w:val="0"/>
          <w:w w:val="100"/>
          <w:position w:val="0"/>
          <w:sz w:val="32"/>
          <w:szCs w:val="32"/>
        </w:rPr>
        <w:t>元，遇有标准调整，按最新标准执行）；</w:t>
      </w:r>
      <w:r>
        <w:rPr>
          <w:rFonts w:hint="eastAsia" w:ascii="方正仿宋简体" w:hAnsi="方正仿宋简体" w:eastAsia="方正仿宋简体" w:cs="方正仿宋简体"/>
          <w:b/>
          <w:bCs/>
          <w:color w:val="000000"/>
          <w:spacing w:val="0"/>
          <w:w w:val="100"/>
          <w:position w:val="0"/>
          <w:sz w:val="32"/>
          <w:szCs w:val="32"/>
          <w:lang w:val="zh-CN" w:eastAsia="zh-CN" w:bidi="zh-CN"/>
        </w:rPr>
        <w:t>“预购</w:t>
      </w:r>
      <w:r>
        <w:rPr>
          <w:rFonts w:hint="eastAsia" w:ascii="方正仿宋简体" w:hAnsi="方正仿宋简体" w:eastAsia="方正仿宋简体" w:cs="方正仿宋简体"/>
          <w:b/>
          <w:bCs/>
          <w:color w:val="000000"/>
          <w:spacing w:val="0"/>
          <w:w w:val="100"/>
          <w:position w:val="0"/>
          <w:sz w:val="32"/>
          <w:szCs w:val="32"/>
        </w:rPr>
        <w:t>电价”与</w:t>
      </w:r>
      <w:r>
        <w:rPr>
          <w:rFonts w:hint="eastAsia" w:ascii="方正仿宋简体" w:hAnsi="方正仿宋简体" w:eastAsia="方正仿宋简体" w:cs="方正仿宋简体"/>
          <w:b/>
          <w:bCs/>
          <w:color w:val="000000"/>
          <w:spacing w:val="0"/>
          <w:w w:val="100"/>
          <w:position w:val="0"/>
          <w:sz w:val="32"/>
          <w:szCs w:val="32"/>
          <w:lang w:val="zh-CN" w:eastAsia="zh-CN" w:bidi="zh-CN"/>
        </w:rPr>
        <w:t>“非直</w:t>
      </w:r>
      <w:r>
        <w:rPr>
          <w:rFonts w:hint="eastAsia" w:ascii="方正仿宋简体" w:hAnsi="方正仿宋简体" w:eastAsia="方正仿宋简体" w:cs="方正仿宋简体"/>
          <w:b/>
          <w:bCs/>
          <w:color w:val="000000"/>
          <w:spacing w:val="0"/>
          <w:w w:val="100"/>
          <w:position w:val="0"/>
          <w:sz w:val="32"/>
          <w:szCs w:val="32"/>
        </w:rPr>
        <w:t>抄用户当月到户电价</w:t>
      </w:r>
      <w:r>
        <w:rPr>
          <w:rFonts w:hint="eastAsia" w:ascii="方正仿宋简体" w:hAnsi="方正仿宋简体" w:eastAsia="方正仿宋简体" w:cs="方正仿宋简体"/>
          <w:b/>
          <w:bCs/>
          <w:color w:val="000000"/>
          <w:spacing w:val="0"/>
          <w:w w:val="100"/>
          <w:position w:val="0"/>
          <w:sz w:val="32"/>
          <w:szCs w:val="32"/>
          <w:lang w:val="zh-CN" w:eastAsia="zh-CN" w:bidi="zh-CN"/>
        </w:rPr>
        <w:t>”电费</w:t>
      </w:r>
      <w:r>
        <w:rPr>
          <w:rFonts w:hint="eastAsia" w:ascii="方正仿宋简体" w:hAnsi="方正仿宋简体" w:eastAsia="方正仿宋简体" w:cs="方正仿宋简体"/>
          <w:b/>
          <w:bCs/>
          <w:color w:val="000000"/>
          <w:spacing w:val="0"/>
          <w:w w:val="100"/>
          <w:position w:val="0"/>
          <w:sz w:val="32"/>
          <w:szCs w:val="32"/>
        </w:rPr>
        <w:t>差额部分应定期多退少补，退补周期最长不得超过</w:t>
      </w:r>
      <w:r>
        <w:rPr>
          <w:rFonts w:hint="eastAsia" w:ascii="方正仿宋简体" w:hAnsi="方正仿宋简体" w:eastAsia="方正仿宋简体" w:cs="方正仿宋简体"/>
          <w:b/>
          <w:bCs/>
          <w:color w:val="000000"/>
          <w:spacing w:val="0"/>
          <w:w w:val="100"/>
          <w:position w:val="0"/>
          <w:sz w:val="32"/>
          <w:szCs w:val="32"/>
        </w:rPr>
        <w:t>12</w:t>
      </w:r>
      <w:r>
        <w:rPr>
          <w:rFonts w:hint="eastAsia" w:ascii="方正仿宋简体" w:hAnsi="方正仿宋简体" w:eastAsia="方正仿宋简体" w:cs="方正仿宋简体"/>
          <w:b/>
          <w:bCs/>
          <w:color w:val="000000"/>
          <w:spacing w:val="0"/>
          <w:w w:val="100"/>
          <w:position w:val="0"/>
          <w:sz w:val="32"/>
          <w:szCs w:val="32"/>
        </w:rPr>
        <w:t>个月。（市市场监管局、市发展改革委）</w:t>
      </w:r>
    </w:p>
    <w:p>
      <w:pPr>
        <w:pStyle w:val="7"/>
        <w:keepNext w:val="0"/>
        <w:keepLines w:val="0"/>
        <w:pageBreakBefore w:val="0"/>
        <w:widowControl w:val="0"/>
        <w:numPr>
          <w:ilvl w:val="0"/>
          <w:numId w:val="1"/>
        </w:numPr>
        <w:shd w:val="clear" w:color="auto" w:fill="auto"/>
        <w:tabs>
          <w:tab w:val="left" w:pos="120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6" w:name="bookmark6"/>
      <w:bookmarkEnd w:id="6"/>
      <w:r>
        <w:rPr>
          <w:rFonts w:hint="eastAsia" w:ascii="方正仿宋简体" w:hAnsi="方正仿宋简体" w:eastAsia="方正仿宋简体" w:cs="方正仿宋简体"/>
          <w:b/>
          <w:bCs/>
          <w:color w:val="000000"/>
          <w:spacing w:val="0"/>
          <w:w w:val="100"/>
          <w:position w:val="0"/>
          <w:sz w:val="32"/>
          <w:szCs w:val="32"/>
        </w:rPr>
        <w:t>严肃查处涉及</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的价格违法案件。各级市场监管部门要及时受理涉及通信基站对转供电投诉举报，对查实的违规收费问题要严格依法处理。情节严重、性质恶劣的典型案例要通过新闻媒体公开曝光，提高检查威慑力。（市市场监管局）</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i w:val="0"/>
          <w:iCs w:val="0"/>
          <w:smallCaps w:val="0"/>
          <w:strike w:val="0"/>
          <w:color w:val="000000"/>
          <w:spacing w:val="0"/>
          <w:w w:val="100"/>
          <w:position w:val="0"/>
          <w:sz w:val="32"/>
          <w:szCs w:val="32"/>
          <w:lang w:val="en-US" w:eastAsia="en-US" w:bidi="en-US"/>
        </w:rPr>
      </w:pPr>
      <w:bookmarkStart w:id="7" w:name="bookmark7"/>
      <w:r>
        <w:rPr>
          <w:rFonts w:hint="eastAsia" w:ascii="黑体" w:hAnsi="黑体" w:eastAsia="黑体" w:cs="黑体"/>
          <w:b/>
          <w:bCs/>
          <w:i w:val="0"/>
          <w:iCs w:val="0"/>
          <w:smallCaps w:val="0"/>
          <w:strike w:val="0"/>
          <w:color w:val="000000"/>
          <w:spacing w:val="0"/>
          <w:w w:val="100"/>
          <w:position w:val="0"/>
          <w:sz w:val="32"/>
          <w:szCs w:val="32"/>
          <w:lang w:val="en-US" w:eastAsia="en-US" w:bidi="en-US"/>
        </w:rPr>
        <w:t>三</w:t>
      </w:r>
      <w:bookmarkEnd w:id="7"/>
      <w:r>
        <w:rPr>
          <w:rFonts w:hint="eastAsia" w:ascii="黑体" w:hAnsi="黑体" w:eastAsia="黑体" w:cs="黑体"/>
          <w:b/>
          <w:bCs/>
          <w:i w:val="0"/>
          <w:iCs w:val="0"/>
          <w:smallCaps w:val="0"/>
          <w:strike w:val="0"/>
          <w:color w:val="000000"/>
          <w:spacing w:val="0"/>
          <w:w w:val="100"/>
          <w:position w:val="0"/>
          <w:sz w:val="32"/>
          <w:szCs w:val="32"/>
          <w:lang w:val="en-US" w:eastAsia="en-US" w:bidi="en-US"/>
        </w:rPr>
        <w:t>、落实5G基站用电优惠等政策</w:t>
      </w:r>
    </w:p>
    <w:p>
      <w:pPr>
        <w:pStyle w:val="7"/>
        <w:keepNext w:val="0"/>
        <w:keepLines w:val="0"/>
        <w:pageBreakBefore w:val="0"/>
        <w:widowControl w:val="0"/>
        <w:numPr>
          <w:ilvl w:val="0"/>
          <w:numId w:val="1"/>
        </w:numPr>
        <w:shd w:val="clear" w:color="auto" w:fill="auto"/>
        <w:tabs>
          <w:tab w:val="left" w:pos="120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8" w:name="bookmark8"/>
      <w:bookmarkEnd w:id="8"/>
      <w:r>
        <w:rPr>
          <w:rFonts w:hint="eastAsia" w:ascii="方正仿宋简体" w:hAnsi="方正仿宋简体" w:eastAsia="方正仿宋简体" w:cs="方正仿宋简体"/>
          <w:b/>
          <w:bCs/>
          <w:color w:val="000000"/>
          <w:spacing w:val="0"/>
          <w:w w:val="100"/>
          <w:position w:val="0"/>
          <w:sz w:val="32"/>
          <w:szCs w:val="32"/>
        </w:rPr>
        <w:t>落实</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基站建设初期用电优惠等政策。认真落实国家、省出台的支持</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基站建设优惠电价政策，鼓励各县（市、区）对新建并开通运行的基站进行补贴，补贴范围可包括</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基站及配套设施建设费用、运行用电费用等，补贴方式原则上采取事后补贴的方式。县（市、区）工业和信息化主管部门要会同本级有关部门加大支持力度，切实推动</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基站加快建设。（市工业和信息化局、市能源局，各县（市、区））</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i w:val="0"/>
          <w:iCs w:val="0"/>
          <w:smallCaps w:val="0"/>
          <w:strike w:val="0"/>
          <w:color w:val="000000"/>
          <w:spacing w:val="0"/>
          <w:w w:val="100"/>
          <w:position w:val="0"/>
          <w:sz w:val="32"/>
          <w:szCs w:val="32"/>
          <w:lang w:val="en-US" w:eastAsia="en-US" w:bidi="en-US"/>
        </w:rPr>
      </w:pPr>
      <w:bookmarkStart w:id="9" w:name="bookmark9"/>
      <w:r>
        <w:rPr>
          <w:rFonts w:hint="eastAsia" w:ascii="黑体" w:hAnsi="黑体" w:eastAsia="黑体" w:cs="黑体"/>
          <w:b/>
          <w:bCs/>
          <w:i w:val="0"/>
          <w:iCs w:val="0"/>
          <w:smallCaps w:val="0"/>
          <w:strike w:val="0"/>
          <w:color w:val="000000"/>
          <w:spacing w:val="0"/>
          <w:w w:val="100"/>
          <w:position w:val="0"/>
          <w:sz w:val="32"/>
          <w:szCs w:val="32"/>
          <w:lang w:val="en-US" w:eastAsia="en-US" w:bidi="en-US"/>
        </w:rPr>
        <w:t>四</w:t>
      </w:r>
      <w:bookmarkEnd w:id="9"/>
      <w:r>
        <w:rPr>
          <w:rFonts w:hint="eastAsia" w:ascii="黑体" w:hAnsi="黑体" w:eastAsia="黑体" w:cs="黑体"/>
          <w:b/>
          <w:bCs/>
          <w:i w:val="0"/>
          <w:iCs w:val="0"/>
          <w:smallCaps w:val="0"/>
          <w:strike w:val="0"/>
          <w:color w:val="000000"/>
          <w:spacing w:val="0"/>
          <w:w w:val="100"/>
          <w:position w:val="0"/>
          <w:sz w:val="32"/>
          <w:szCs w:val="32"/>
          <w:lang w:val="en-US" w:eastAsia="en-US" w:bidi="en-US"/>
        </w:rPr>
        <w:t>、优化审批流程，规范基站内部管理</w:t>
      </w:r>
    </w:p>
    <w:p>
      <w:pPr>
        <w:pStyle w:val="7"/>
        <w:keepNext w:val="0"/>
        <w:keepLines w:val="0"/>
        <w:pageBreakBefore w:val="0"/>
        <w:widowControl w:val="0"/>
        <w:numPr>
          <w:ilvl w:val="0"/>
          <w:numId w:val="1"/>
        </w:numPr>
        <w:shd w:val="clear" w:color="auto" w:fill="auto"/>
        <w:tabs>
          <w:tab w:val="left" w:pos="120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0" w:name="bookmark10"/>
      <w:bookmarkEnd w:id="10"/>
      <w:r>
        <w:rPr>
          <w:rFonts w:hint="eastAsia" w:ascii="方正仿宋简体" w:hAnsi="方正仿宋简体" w:eastAsia="方正仿宋简体" w:cs="方正仿宋简体"/>
          <w:b/>
          <w:bCs/>
          <w:color w:val="000000"/>
          <w:spacing w:val="0"/>
          <w:w w:val="100"/>
          <w:position w:val="0"/>
          <w:sz w:val="32"/>
          <w:szCs w:val="32"/>
        </w:rPr>
        <w:t>强化基站规划管理。工业和信息化主管部门要依据国土空间规划，牵头编制通信基础设施专项规划，将</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基站等通信基础设施建设布局纳入该专项规划中落实。自然资源主管部门配合做好相关专项规划纳入同级国土空间总体规划工作。（市工业和信息化局、市自然资源和规划局）</w:t>
      </w:r>
    </w:p>
    <w:p>
      <w:pPr>
        <w:pStyle w:val="7"/>
        <w:keepNext w:val="0"/>
        <w:keepLines w:val="0"/>
        <w:pageBreakBefore w:val="0"/>
        <w:widowControl w:val="0"/>
        <w:numPr>
          <w:ilvl w:val="0"/>
          <w:numId w:val="1"/>
        </w:numPr>
        <w:shd w:val="clear" w:color="auto" w:fill="auto"/>
        <w:tabs>
          <w:tab w:val="left" w:pos="1219"/>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1" w:name="bookmark11"/>
      <w:bookmarkEnd w:id="11"/>
      <w:r>
        <w:rPr>
          <w:rFonts w:hint="eastAsia" w:ascii="方正仿宋简体" w:hAnsi="方正仿宋简体" w:eastAsia="方正仿宋简体" w:cs="方正仿宋简体"/>
          <w:b/>
          <w:bCs/>
          <w:color w:val="000000"/>
          <w:spacing w:val="0"/>
          <w:w w:val="100"/>
          <w:position w:val="0"/>
          <w:sz w:val="32"/>
          <w:szCs w:val="32"/>
        </w:rPr>
        <w:t>优化建设审批流程。各级自然资源、住房城乡建设、城市管理、交通运输等主管部门和行政审批服务部门要优化审批流程,推动</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基站等通信基础设施加快建设。需要独立占地的铁塔基站，及时办理规划、用地手续；在新建项目中配建的，要将</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等通信基础设施配套纳入工程项目立项、设计、验收等环节，确保通信基础设施建设与建筑物同步规划、同步设计、同步施工、同步验收。（市行政审批服务局、市自然资源和规划局、市住房和城乡建设局、市城市管理局、市交通运输局）</w:t>
      </w:r>
    </w:p>
    <w:p>
      <w:pPr>
        <w:pStyle w:val="7"/>
        <w:keepNext w:val="0"/>
        <w:keepLines w:val="0"/>
        <w:pageBreakBefore w:val="0"/>
        <w:widowControl w:val="0"/>
        <w:numPr>
          <w:ilvl w:val="0"/>
          <w:numId w:val="1"/>
        </w:numPr>
        <w:shd w:val="clear" w:color="auto" w:fill="auto"/>
        <w:tabs>
          <w:tab w:val="left" w:pos="1219"/>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2" w:name="bookmark12"/>
      <w:bookmarkEnd w:id="12"/>
      <w:r>
        <w:rPr>
          <w:rFonts w:hint="eastAsia" w:ascii="方正仿宋简体" w:hAnsi="方正仿宋简体" w:eastAsia="方正仿宋简体" w:cs="方正仿宋简体"/>
          <w:b/>
          <w:bCs/>
          <w:color w:val="000000"/>
          <w:spacing w:val="0"/>
          <w:w w:val="100"/>
          <w:position w:val="0"/>
          <w:sz w:val="32"/>
          <w:szCs w:val="32"/>
        </w:rPr>
        <w:t>优化基站用电报案流程。对存量非直供</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基站，当地电网企业要结合现场供电条件，优化装表立户流程。对于新增</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基站用电需求，铁塔公司要提前</w:t>
      </w:r>
      <w:r>
        <w:rPr>
          <w:rFonts w:hint="eastAsia" w:ascii="方正仿宋简体" w:hAnsi="方正仿宋简体" w:eastAsia="方正仿宋简体" w:cs="方正仿宋简体"/>
          <w:b/>
          <w:bCs/>
          <w:color w:val="000000"/>
          <w:spacing w:val="0"/>
          <w:w w:val="100"/>
          <w:position w:val="0"/>
          <w:sz w:val="32"/>
          <w:szCs w:val="32"/>
        </w:rPr>
        <w:t>1</w:t>
      </w:r>
      <w:r>
        <w:rPr>
          <w:rFonts w:hint="eastAsia" w:ascii="方正仿宋简体" w:hAnsi="方正仿宋简体" w:eastAsia="方正仿宋简体" w:cs="方正仿宋简体"/>
          <w:b/>
          <w:bCs/>
          <w:color w:val="000000"/>
          <w:spacing w:val="0"/>
          <w:w w:val="100"/>
          <w:position w:val="0"/>
          <w:sz w:val="32"/>
          <w:szCs w:val="32"/>
        </w:rPr>
        <w:t>个月告知当地电网企业，当地电网企业要根据铁塔公司出具的</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基站及相关设施建设规划，将报装服务前置，加快接电效率，及时做好供电方案答复及报装接电服务工作。（市能源局，国网济宁供电公司）</w:t>
      </w:r>
    </w:p>
    <w:p>
      <w:pPr>
        <w:pStyle w:val="7"/>
        <w:keepNext w:val="0"/>
        <w:keepLines w:val="0"/>
        <w:pageBreakBefore w:val="0"/>
        <w:widowControl w:val="0"/>
        <w:numPr>
          <w:ilvl w:val="0"/>
          <w:numId w:val="1"/>
        </w:numPr>
        <w:shd w:val="clear" w:color="auto" w:fill="auto"/>
        <w:tabs>
          <w:tab w:val="left" w:pos="1219"/>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3" w:name="bookmark13"/>
      <w:bookmarkEnd w:id="13"/>
      <w:r>
        <w:rPr>
          <w:rFonts w:hint="eastAsia" w:ascii="方正仿宋简体" w:hAnsi="方正仿宋简体" w:eastAsia="方正仿宋简体" w:cs="方正仿宋简体"/>
          <w:b/>
          <w:bCs/>
          <w:color w:val="000000"/>
          <w:spacing w:val="0"/>
          <w:w w:val="100"/>
          <w:position w:val="0"/>
          <w:sz w:val="32"/>
          <w:szCs w:val="32"/>
        </w:rPr>
        <w:t>加强电信企业之间协调。基站产权单位利用公共资源新建或改建（使用）</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基站的，应与公共资源产权单位签订入场建设及使用合同（协议），明确双方责任义务，确保通信设施设备安全稳定运行。其他电信运营企业确需在同一站址上新建或改建</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基站的，应由基站产权单位负责牵头协调，并以加装通信设备为主，在原设施具备安装条件并符合</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网络要求的情况下，不得重复建设塔杆、机房等设施，确保公共资源共建共享。电信企业之间要加强沟通、协调配合，不得与产权单位签订有违反法律和政策规定的协议条款，不得违规签订合同（协议）之外的附加条款。（市工业和信息化局，中国铁塔济宁市分公司、中国移动济宁分公司、中国联通济宁市分公司、中国电信济宁分公司、山东广电网络有限公司济宁分公司）</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sz w:val="32"/>
          <w:szCs w:val="32"/>
        </w:rPr>
      </w:pPr>
      <w:bookmarkStart w:id="14" w:name="bookmark14"/>
      <w:r>
        <w:rPr>
          <w:rFonts w:hint="eastAsia" w:ascii="黑体" w:hAnsi="黑体" w:eastAsia="黑体" w:cs="黑体"/>
          <w:b/>
          <w:bCs/>
          <w:color w:val="000000"/>
          <w:spacing w:val="0"/>
          <w:w w:val="100"/>
          <w:position w:val="0"/>
          <w:sz w:val="32"/>
          <w:szCs w:val="32"/>
        </w:rPr>
        <w:t>五</w:t>
      </w:r>
      <w:bookmarkEnd w:id="14"/>
      <w:r>
        <w:rPr>
          <w:rFonts w:hint="eastAsia" w:ascii="黑体" w:hAnsi="黑体" w:eastAsia="黑体" w:cs="黑体"/>
          <w:b/>
          <w:bCs/>
          <w:color w:val="000000"/>
          <w:spacing w:val="0"/>
          <w:w w:val="100"/>
          <w:position w:val="0"/>
          <w:sz w:val="32"/>
          <w:szCs w:val="32"/>
        </w:rPr>
        <w:t>、加快公共资源向</w:t>
      </w:r>
      <w:r>
        <w:rPr>
          <w:rFonts w:hint="eastAsia" w:ascii="黑体" w:hAnsi="黑体" w:eastAsia="黑体" w:cs="黑体"/>
          <w:b/>
          <w:bCs/>
          <w:color w:val="000000"/>
          <w:spacing w:val="0"/>
          <w:w w:val="100"/>
          <w:position w:val="0"/>
          <w:sz w:val="32"/>
          <w:szCs w:val="32"/>
          <w:lang w:val="en-US" w:eastAsia="en-US" w:bidi="en-US"/>
        </w:rPr>
        <w:t>5G</w:t>
      </w:r>
      <w:r>
        <w:rPr>
          <w:rFonts w:hint="eastAsia" w:ascii="黑体" w:hAnsi="黑体" w:eastAsia="黑体" w:cs="黑体"/>
          <w:b/>
          <w:bCs/>
          <w:color w:val="000000"/>
          <w:spacing w:val="0"/>
          <w:w w:val="100"/>
          <w:position w:val="0"/>
          <w:sz w:val="32"/>
          <w:szCs w:val="32"/>
        </w:rPr>
        <w:t>基站建设开放</w:t>
      </w:r>
    </w:p>
    <w:p>
      <w:pPr>
        <w:pStyle w:val="7"/>
        <w:keepNext w:val="0"/>
        <w:keepLines w:val="0"/>
        <w:pageBreakBefore w:val="0"/>
        <w:widowControl w:val="0"/>
        <w:numPr>
          <w:ilvl w:val="0"/>
          <w:numId w:val="1"/>
        </w:numPr>
        <w:shd w:val="clear" w:color="auto" w:fill="auto"/>
        <w:tabs>
          <w:tab w:val="left" w:pos="1274"/>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5" w:name="bookmark15"/>
      <w:bookmarkEnd w:id="15"/>
      <w:r>
        <w:rPr>
          <w:rFonts w:hint="eastAsia" w:ascii="方正仿宋简体" w:hAnsi="方正仿宋简体" w:eastAsia="方正仿宋简体" w:cs="方正仿宋简体"/>
          <w:b/>
          <w:bCs/>
          <w:color w:val="000000"/>
          <w:spacing w:val="0"/>
          <w:w w:val="100"/>
          <w:position w:val="0"/>
          <w:sz w:val="32"/>
          <w:szCs w:val="32"/>
        </w:rPr>
        <w:t>加快党政机关区域、社会公共区域、重点产业领域三类重点区域开放。坚持</w:t>
      </w:r>
      <w:r>
        <w:rPr>
          <w:rFonts w:hint="eastAsia" w:ascii="方正仿宋简体" w:hAnsi="方正仿宋简体" w:eastAsia="方正仿宋简体" w:cs="方正仿宋简体"/>
          <w:b/>
          <w:bCs/>
          <w:color w:val="000000"/>
          <w:spacing w:val="0"/>
          <w:w w:val="100"/>
          <w:position w:val="0"/>
          <w:sz w:val="32"/>
          <w:szCs w:val="32"/>
          <w:lang w:val="zh-CN" w:eastAsia="zh-CN" w:bidi="zh-CN"/>
        </w:rPr>
        <w:t>“政府</w:t>
      </w:r>
      <w:r>
        <w:rPr>
          <w:rFonts w:hint="eastAsia" w:ascii="方正仿宋简体" w:hAnsi="方正仿宋简体" w:eastAsia="方正仿宋简体" w:cs="方正仿宋简体"/>
          <w:b/>
          <w:bCs/>
          <w:color w:val="000000"/>
          <w:spacing w:val="0"/>
          <w:w w:val="100"/>
          <w:position w:val="0"/>
          <w:sz w:val="32"/>
          <w:szCs w:val="32"/>
        </w:rPr>
        <w:t>主导、铁塔统筹、开放共享、服务社会”原则，党政机关、事业单位、国有企业、医院学校、科研院所、交通枢纽（高铁、机场、地铁、轻轨、高速等）、大型场馆、楼宇社区、旅游景点、道路、桥梁、隧道等公共场所和建（构）筑物，以及路灯杆、监控杆、道路指示牌等公共资源要向</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基站开放。其中，属于公共机构以及政府投资为主的公共资源要向</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基站免费开放，鼓励政府全额出资的企业所属建筑物免费开放。（各县（市、区），各有关单位）</w:t>
      </w:r>
    </w:p>
    <w:p>
      <w:pPr>
        <w:pStyle w:val="7"/>
        <w:keepNext w:val="0"/>
        <w:keepLines w:val="0"/>
        <w:pageBreakBefore w:val="0"/>
        <w:widowControl w:val="0"/>
        <w:numPr>
          <w:ilvl w:val="0"/>
          <w:numId w:val="1"/>
        </w:numPr>
        <w:shd w:val="clear" w:color="auto" w:fill="auto"/>
        <w:tabs>
          <w:tab w:val="left" w:pos="1274"/>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6" w:name="bookmark16"/>
      <w:bookmarkEnd w:id="16"/>
      <w:r>
        <w:rPr>
          <w:rFonts w:hint="eastAsia" w:ascii="方正仿宋简体" w:hAnsi="方正仿宋简体" w:eastAsia="方正仿宋简体" w:cs="方正仿宋简体"/>
          <w:b/>
          <w:bCs/>
          <w:color w:val="000000"/>
          <w:spacing w:val="0"/>
          <w:w w:val="100"/>
          <w:position w:val="0"/>
          <w:sz w:val="32"/>
          <w:szCs w:val="32"/>
        </w:rPr>
        <w:t>强化率先垂范。各级机关事务管理服务部门要协调推动行政事业单位非涉密办公用房向</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基站免费开放，不得收取基站租赁、资源占用等费用。各级教育、科技、住建、城管、交通、文旅、卫健、国资等管理部门要指导推动本领域本行业公共资源向</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基站开放。（市机关事务服务中心，市教育局、市科技局、市住房城乡建设局、市城市管理局、市交通运输局、市文化和旅游局、市卫生健康委、市国资委）</w:t>
      </w:r>
    </w:p>
    <w:p>
      <w:pPr>
        <w:pStyle w:val="7"/>
        <w:keepNext w:val="0"/>
        <w:keepLines w:val="0"/>
        <w:pageBreakBefore w:val="0"/>
        <w:widowControl w:val="0"/>
        <w:numPr>
          <w:ilvl w:val="0"/>
          <w:numId w:val="1"/>
        </w:numPr>
        <w:shd w:val="clear" w:color="auto" w:fill="auto"/>
        <w:tabs>
          <w:tab w:val="left" w:pos="634"/>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7" w:name="bookmark17"/>
      <w:bookmarkEnd w:id="17"/>
      <w:r>
        <w:rPr>
          <w:rFonts w:hint="eastAsia" w:ascii="方正仿宋简体" w:hAnsi="方正仿宋简体" w:eastAsia="方正仿宋简体" w:cs="方正仿宋简体"/>
          <w:b/>
          <w:bCs/>
          <w:color w:val="000000"/>
          <w:spacing w:val="0"/>
          <w:w w:val="100"/>
          <w:position w:val="0"/>
          <w:sz w:val="32"/>
          <w:szCs w:val="32"/>
        </w:rPr>
        <w:t>严禁强制收取不合理费用。任何单位和个人不得在基站建设运行过程中强制收取进场费、协调费、分摊费等费用。除配合建设增加的必要成本和管理费用外，公共场所资源产权人、管理人或使用人不得强制收取租金。对于正在运行的基站，有关权属单位要积极配合电信企业开展基站升级、改造及维护。（各有关单位）</w:t>
      </w:r>
    </w:p>
    <w:p>
      <w:pPr>
        <w:pStyle w:val="7"/>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18" w:name="bookmark18"/>
      <w:bookmarkEnd w:id="18"/>
      <w:r>
        <w:rPr>
          <w:rFonts w:hint="eastAsia" w:ascii="方正仿宋简体" w:hAnsi="方正仿宋简体" w:eastAsia="方正仿宋简体" w:cs="方正仿宋简体"/>
          <w:b/>
          <w:bCs/>
          <w:color w:val="000000"/>
          <w:spacing w:val="0"/>
          <w:w w:val="100"/>
          <w:position w:val="0"/>
          <w:sz w:val="32"/>
          <w:szCs w:val="32"/>
        </w:rPr>
        <w:t>推动共建共享。统筹全市新型智慧城市建设资源，推进数字基础设施建设，加快通信铁塔资源向社会开放，推动各部门数据资源共商共建共享，探索</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智慧应用，提升环境监测、公安监控、道路交通安全监测、智慧文旅、智慧巡检等行业信息化管理水平。（市工业和信息化局，市大数据中心）</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i w:val="0"/>
          <w:iCs w:val="0"/>
          <w:smallCaps w:val="0"/>
          <w:strike w:val="0"/>
          <w:color w:val="000000"/>
          <w:spacing w:val="0"/>
          <w:w w:val="100"/>
          <w:position w:val="0"/>
          <w:sz w:val="32"/>
          <w:szCs w:val="32"/>
        </w:rPr>
      </w:pPr>
      <w:bookmarkStart w:id="19" w:name="bookmark19"/>
      <w:r>
        <w:rPr>
          <w:rFonts w:hint="eastAsia" w:ascii="黑体" w:hAnsi="黑体" w:eastAsia="黑体" w:cs="黑体"/>
          <w:b/>
          <w:bCs/>
          <w:i w:val="0"/>
          <w:iCs w:val="0"/>
          <w:smallCaps w:val="0"/>
          <w:strike w:val="0"/>
          <w:color w:val="000000"/>
          <w:spacing w:val="0"/>
          <w:w w:val="100"/>
          <w:position w:val="0"/>
          <w:sz w:val="32"/>
          <w:szCs w:val="32"/>
        </w:rPr>
        <w:t>六</w:t>
      </w:r>
      <w:bookmarkEnd w:id="19"/>
      <w:r>
        <w:rPr>
          <w:rFonts w:hint="eastAsia" w:ascii="黑体" w:hAnsi="黑体" w:eastAsia="黑体" w:cs="黑体"/>
          <w:b/>
          <w:bCs/>
          <w:i w:val="0"/>
          <w:iCs w:val="0"/>
          <w:smallCaps w:val="0"/>
          <w:strike w:val="0"/>
          <w:color w:val="000000"/>
          <w:spacing w:val="0"/>
          <w:w w:val="100"/>
          <w:position w:val="0"/>
          <w:sz w:val="32"/>
          <w:szCs w:val="32"/>
        </w:rPr>
        <w:t>、建立保障机制</w:t>
      </w:r>
    </w:p>
    <w:p>
      <w:pPr>
        <w:pStyle w:val="7"/>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20" w:name="bookmark20"/>
      <w:bookmarkEnd w:id="20"/>
      <w:r>
        <w:rPr>
          <w:rFonts w:hint="eastAsia" w:ascii="方正仿宋简体" w:hAnsi="方正仿宋简体" w:eastAsia="方正仿宋简体" w:cs="方正仿宋简体"/>
          <w:b/>
          <w:bCs/>
          <w:color w:val="000000"/>
          <w:spacing w:val="0"/>
          <w:w w:val="100"/>
          <w:position w:val="0"/>
          <w:sz w:val="32"/>
          <w:szCs w:val="32"/>
        </w:rPr>
        <w:t>加强组织领导。成立济宁市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基站建设推进工作领导小组，加强全市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基站建设工作的组织领导，统筹</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站址资源规划及建设相关工作，明确各部门工作目标、职责分工及相关要求。领导小组办公室设在市工业和信息化局，办公室日常工作由市工业和信息化局、市铁塔公司具体负责。领导小组定期召开会议，部署落实电价优惠和公共资源开放等工作，协调解决</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基站建设过程中的重点难点问题，督导推进全市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基站建设任务目标完成。（市工业和信息化局，各有关单位）</w:t>
      </w:r>
    </w:p>
    <w:p>
      <w:pPr>
        <w:pStyle w:val="7"/>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bookmarkStart w:id="21" w:name="bookmark21"/>
      <w:bookmarkEnd w:id="21"/>
      <w:r>
        <w:rPr>
          <w:rFonts w:hint="eastAsia" w:ascii="方正仿宋简体" w:hAnsi="方正仿宋简体" w:eastAsia="方正仿宋简体" w:cs="方正仿宋简体"/>
          <w:b/>
          <w:bCs/>
          <w:color w:val="000000"/>
          <w:spacing w:val="0"/>
          <w:w w:val="100"/>
          <w:position w:val="0"/>
          <w:sz w:val="32"/>
          <w:szCs w:val="32"/>
        </w:rPr>
        <w:t>建立负面清单。未按规定开放资源或强制收取不合理费用的，由铁塔、广电等电信企业将基站所在位置、管理单位或物业服务单位名称、具体违规情况等信息以县（市、区）为单位汇总报送至市及各县（市、区）工业和信息化局，建立负面清单机制，予以协调督办。（市工业和信息化局，各县（市、区））</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sectPr>
          <w:footerReference r:id="rId5" w:type="default"/>
          <w:footerReference r:id="rId6" w:type="even"/>
          <w:footnotePr>
            <w:numFmt w:val="decimal"/>
          </w:footnotePr>
          <w:pgSz w:w="11900" w:h="16840"/>
          <w:pgMar w:top="1952" w:right="1425" w:bottom="1795" w:left="1441" w:header="0" w:footer="3" w:gutter="0"/>
          <w:cols w:space="720" w:num="1"/>
          <w:rtlGutter w:val="0"/>
          <w:docGrid w:linePitch="360" w:charSpace="0"/>
        </w:sectPr>
      </w:pPr>
      <w:bookmarkStart w:id="22" w:name="bookmark22"/>
      <w:bookmarkEnd w:id="22"/>
      <w:r>
        <w:rPr>
          <w:rFonts w:hint="eastAsia" w:ascii="方正仿宋简体" w:hAnsi="方正仿宋简体" w:eastAsia="方正仿宋简体" w:cs="方正仿宋简体"/>
          <w:b/>
          <w:bCs/>
          <w:color w:val="000000"/>
          <w:spacing w:val="0"/>
          <w:w w:val="100"/>
          <w:position w:val="0"/>
          <w:sz w:val="32"/>
          <w:szCs w:val="32"/>
        </w:rPr>
        <w:t>实行挂牌督办。对于影响全市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基站建设大局的违纪违规行为，在全市重要事项挂图作战指挥平台上挂牌督办。（市工</w:t>
      </w:r>
      <w:r>
        <w:rPr>
          <w:rFonts w:hint="eastAsia" w:ascii="方正仿宋简体" w:hAnsi="方正仿宋简体" w:eastAsia="方正仿宋简体" w:cs="方正仿宋简体"/>
          <w:b/>
          <w:bCs/>
          <w:color w:val="000000"/>
          <w:spacing w:val="0"/>
          <w:w w:val="100"/>
          <w:position w:val="0"/>
          <w:sz w:val="32"/>
          <w:szCs w:val="32"/>
          <w:lang w:eastAsia="zh-CN"/>
        </w:rPr>
        <w:t>业和信息化局）</w:t>
      </w:r>
    </w:p>
    <w:bookmarkEnd w:id="23"/>
    <w:p>
      <w:pPr>
        <w:pStyle w:val="7"/>
        <w:keepNext w:val="0"/>
        <w:keepLines w:val="0"/>
        <w:pageBreakBefore w:val="0"/>
        <w:widowControl w:val="0"/>
        <w:numPr>
          <w:numId w:val="0"/>
        </w:numPr>
        <w:shd w:val="clear" w:color="auto" w:fill="auto"/>
        <w:kinsoku/>
        <w:wordWrap/>
        <w:overflowPunct/>
        <w:topLinePunct w:val="0"/>
        <w:autoSpaceDE/>
        <w:autoSpaceDN/>
        <w:bidi w:val="0"/>
        <w:adjustRightInd w:val="0"/>
        <w:snapToGrid w:val="0"/>
        <w:spacing w:before="0" w:after="0" w:line="600" w:lineRule="exact"/>
        <w:ind w:right="0" w:rightChars="0"/>
        <w:jc w:val="both"/>
        <w:textAlignment w:val="auto"/>
        <w:rPr>
          <w:rFonts w:hint="eastAsia" w:ascii="方正仿宋简体" w:hAnsi="方正仿宋简体" w:eastAsia="方正仿宋简体" w:cs="方正仿宋简体"/>
          <w:b/>
          <w:bCs/>
          <w:sz w:val="32"/>
          <w:szCs w:val="32"/>
        </w:rPr>
        <w:sectPr>
          <w:footerReference r:id="rId7" w:type="default"/>
          <w:footerReference r:id="rId8" w:type="even"/>
          <w:footnotePr>
            <w:numFmt w:val="decimal"/>
          </w:footnotePr>
          <w:pgSz w:w="11900" w:h="16840"/>
          <w:pgMar w:top="1952" w:right="1425" w:bottom="1795" w:left="1441" w:header="0" w:footer="3" w:gutter="0"/>
          <w:cols w:space="720" w:num="1"/>
          <w:rtlGutter w:val="0"/>
          <w:docGrid w:linePitch="360" w:charSpace="0"/>
        </w:sectPr>
      </w:pPr>
      <w:r>
        <w:rPr>
          <w:rFonts w:hint="eastAsia" w:ascii="方正仿宋简体" w:hAnsi="方正仿宋简体" w:eastAsia="方正仿宋简体" w:cs="方正仿宋简体"/>
          <w:b/>
          <w:bCs/>
          <w:color w:val="000000"/>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sectPr>
          <w:footnotePr>
            <w:numFmt w:val="decimal"/>
          </w:footnotePr>
          <w:type w:val="continuous"/>
          <w:pgSz w:w="11900" w:h="16840"/>
          <w:pgMar w:top="1954" w:right="0" w:bottom="1607" w:left="0" w:header="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方正仿宋简体" w:hAnsi="方正仿宋简体" w:eastAsia="方正仿宋简体" w:cs="方正仿宋简体"/>
          <w:b/>
          <w:bCs/>
          <w:sz w:val="32"/>
          <w:szCs w:val="32"/>
        </w:rPr>
        <w:sectPr>
          <w:footnotePr>
            <w:numFmt w:val="decimal"/>
          </w:footnotePr>
          <w:type w:val="continuous"/>
          <w:pgSz w:w="11900" w:h="16840"/>
          <w:pgMar w:top="1954" w:right="1205" w:bottom="1607" w:left="1422" w:header="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sectPr>
          <w:footerReference r:id="rId9" w:type="default"/>
          <w:footerReference r:id="rId10" w:type="even"/>
          <w:footnotePr>
            <w:numFmt w:val="decimal"/>
          </w:footnotePr>
          <w:pgSz w:w="11900" w:h="16840"/>
          <w:pgMar w:top="2338" w:right="1125" w:bottom="1576" w:left="1653" w:header="191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sectPr>
          <w:footnotePr>
            <w:numFmt w:val="decimal"/>
          </w:footnotePr>
          <w:type w:val="continuous"/>
          <w:pgSz w:w="11900" w:h="16840"/>
          <w:pgMar w:top="2338" w:right="0" w:bottom="2338" w:left="0" w:header="0" w:footer="3" w:gutter="0"/>
          <w:cols w:space="720" w:num="1"/>
          <w:rtlGutter w:val="0"/>
          <w:docGrid w:linePitch="360" w:charSpace="0"/>
        </w:sect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rPr>
          <w:rFonts w:hint="eastAsia" w:ascii="方正仿宋简体" w:hAnsi="方正仿宋简体" w:eastAsia="方正仿宋简体" w:cs="方正仿宋简体"/>
          <w:b/>
          <w:bCs/>
          <w:sz w:val="32"/>
          <w:szCs w:val="32"/>
        </w:rPr>
        <w:sectPr>
          <w:footnotePr>
            <w:numFmt w:val="decimal"/>
          </w:footnotePr>
          <w:type w:val="continuous"/>
          <w:pgSz w:w="11900" w:h="16840"/>
          <w:pgMar w:top="2338" w:right="7215" w:bottom="2338" w:left="2387" w:header="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方正仿宋简体" w:hAnsi="方正仿宋简体" w:eastAsia="方正仿宋简体" w:cs="方正仿宋简体"/>
          <w:b/>
          <w:bCs/>
          <w:sz w:val="32"/>
          <w:szCs w:val="32"/>
        </w:rPr>
      </w:pPr>
    </w:p>
    <w:sectPr>
      <w:footerReference r:id="rId11" w:type="default"/>
      <w:footerReference r:id="rId12" w:type="even"/>
      <w:footnotePr>
        <w:numFmt w:val="decimal"/>
      </w:footnotePr>
      <w:pgSz w:w="11900" w:h="16840"/>
      <w:pgMar w:top="13989" w:right="1890" w:bottom="2270" w:left="1276" w:header="13561" w:footer="1842"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5935980</wp:posOffset>
              </wp:positionH>
              <wp:positionV relativeFrom="page">
                <wp:posOffset>9640570</wp:posOffset>
              </wp:positionV>
              <wp:extent cx="468630" cy="102870"/>
              <wp:effectExtent l="0" t="0" r="0" b="0"/>
              <wp:wrapNone/>
              <wp:docPr id="2" name="Shape 1"/>
              <wp:cNvGraphicFramePr/>
              <a:graphic xmlns:a="http://schemas.openxmlformats.org/drawingml/2006/main">
                <a:graphicData uri="http://schemas.microsoft.com/office/word/2010/wordprocessingShape">
                  <wps:wsp>
                    <wps:cNvSpPr txBox="1"/>
                    <wps:spPr>
                      <a:xfrm>
                        <a:off x="0" y="0"/>
                        <a:ext cx="468630" cy="1028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467.4pt;margin-top:759.1pt;height:8.1pt;width:36.9pt;mso-position-horizontal-relative:page;mso-position-vertical-relative:page;mso-wrap-style:none;z-index:-440400896;mso-width-relative:page;mso-height-relative:page;" filled="f" stroked="f" coordsize="21600,21600" o:gfxdata="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K9CRKtkAAAAOAQAADwAAAAAAAAABACAAAAAiAAAAZHJzL2Rv&#10;d25yZXYueG1sUEsBAhQAFAAAAAgAh07iQPs44EeOAQAAIQMAAA4AAAAAAAAAAQAgAAAAKA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932815</wp:posOffset>
              </wp:positionH>
              <wp:positionV relativeFrom="page">
                <wp:posOffset>9629140</wp:posOffset>
              </wp:positionV>
              <wp:extent cx="532765" cy="105410"/>
              <wp:effectExtent l="0" t="0" r="0" b="0"/>
              <wp:wrapNone/>
              <wp:docPr id="4" name="Shape 3"/>
              <wp:cNvGraphicFramePr/>
              <a:graphic xmlns:a="http://schemas.openxmlformats.org/drawingml/2006/main">
                <a:graphicData uri="http://schemas.microsoft.com/office/word/2010/wordprocessingShape">
                  <wps:wsp>
                    <wps:cNvSpPr txBox="1"/>
                    <wps:spPr>
                      <a:xfrm>
                        <a:off x="0" y="0"/>
                        <a:ext cx="532765" cy="10541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wps:txbx>
                    <wps:bodyPr wrap="none" lIns="0" tIns="0" rIns="0" bIns="0">
                      <a:spAutoFit/>
                    </wps:bodyPr>
                  </wps:wsp>
                </a:graphicData>
              </a:graphic>
            </wp:anchor>
          </w:drawing>
        </mc:Choice>
        <mc:Fallback>
          <w:pict>
            <v:shape id="Shape 3" o:spid="_x0000_s1026" o:spt="202" type="#_x0000_t202" style="position:absolute;left:0pt;margin-left:73.45pt;margin-top:758.2pt;height:8.3pt;width:41.95pt;mso-position-horizontal-relative:page;mso-position-vertical-relative:page;mso-wrap-style:none;z-index:-440400896;mso-width-relative:page;mso-height-relative:page;" filled="f" stroked="f" coordsize="21600,21600" o:gfxdata="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ZA6mtNgAAAANAQAADwAAAAAAAAABACAAAAAiAAAAZHJzL2Rv&#10;d25yZXYueG1sUEsBAhQAFAAAAAgAh07iQMm05umPAQAAIQMAAA4AAAAAAAAAAQAgAAAAJw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5935980</wp:posOffset>
              </wp:positionH>
              <wp:positionV relativeFrom="page">
                <wp:posOffset>9640570</wp:posOffset>
              </wp:positionV>
              <wp:extent cx="46863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468630" cy="1028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467.4pt;margin-top:759.1pt;height:8.1pt;width:36.9pt;mso-position-horizontal-relative:page;mso-position-vertical-relative:page;mso-wrap-style:none;z-index:-440400896;mso-width-relative:page;mso-height-relative:page;" filled="f" stroked="f" coordsize="21600,21600" o:gfxdata="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r0JEq2QAAAA4BAAAPAAAAAAAAAAEAIAAAACIAAABkcnMvZG93&#10;bnJldi54bWxQSwECFAAUAAAACACHTuJAZyTVkY0BAAAhAwAADgAAAAAAAAABACAAAAAo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932815</wp:posOffset>
              </wp:positionH>
              <wp:positionV relativeFrom="page">
                <wp:posOffset>9629140</wp:posOffset>
              </wp:positionV>
              <wp:extent cx="532765"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532765" cy="10541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wps:txbx>
                    <wps:bodyPr wrap="none" lIns="0" tIns="0" rIns="0" bIns="0">
                      <a:spAutoFit/>
                    </wps:bodyPr>
                  </wps:wsp>
                </a:graphicData>
              </a:graphic>
            </wp:anchor>
          </w:drawing>
        </mc:Choice>
        <mc:Fallback>
          <w:pict>
            <v:shape id="Shape 3" o:spid="_x0000_s1026" o:spt="202" type="#_x0000_t202" style="position:absolute;left:0pt;margin-left:73.45pt;margin-top:758.2pt;height:8.3pt;width:41.95pt;mso-position-horizontal-relative:page;mso-position-vertical-relative:page;mso-wrap-style:none;z-index:-440400896;mso-width-relative:page;mso-height-relative:page;" filled="f" stroked="f" coordsize="21600,21600" o:gfxdata="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ZA6mtNgAAAANAQAADwAAAAAAAAABACAAAAAiAAAAZHJz&#10;L2Rvd25yZXYueG1sUEsBAhQAFAAAAAgAh07iQMR/EdOSAQAAIQMAAA4AAAAAAAAAAQAgAAAAJwEA&#10;AGRycy9lMm9Eb2MueG1sUEsFBgAAAAAGAAYAWQEAACs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6101715</wp:posOffset>
              </wp:positionH>
              <wp:positionV relativeFrom="page">
                <wp:posOffset>9629775</wp:posOffset>
              </wp:positionV>
              <wp:extent cx="537210" cy="105410"/>
              <wp:effectExtent l="0" t="0" r="0" b="0"/>
              <wp:wrapNone/>
              <wp:docPr id="31" name="Shape 31"/>
              <wp:cNvGraphicFramePr/>
              <a:graphic xmlns:a="http://schemas.openxmlformats.org/drawingml/2006/main">
                <a:graphicData uri="http://schemas.microsoft.com/office/word/2010/wordprocessingShape">
                  <wps:wsp>
                    <wps:cNvSpPr txBox="1"/>
                    <wps:spPr>
                      <a:xfrm>
                        <a:off x="0" y="0"/>
                        <a:ext cx="537210" cy="10541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wps:txbx>
                    <wps:bodyPr wrap="none" lIns="0" tIns="0" rIns="0" bIns="0">
                      <a:spAutoFit/>
                    </wps:bodyPr>
                  </wps:wsp>
                </a:graphicData>
              </a:graphic>
            </wp:anchor>
          </w:drawing>
        </mc:Choice>
        <mc:Fallback>
          <w:pict>
            <v:shape id="Shape 31" o:spid="_x0000_s1026" o:spt="202" type="#_x0000_t202" style="position:absolute;left:0pt;margin-left:480.45pt;margin-top:758.25pt;height:8.3pt;width:42.3pt;mso-position-horizontal-relative:page;mso-position-vertical-relative:page;mso-wrap-style:none;z-index:-440400896;mso-width-relative:page;mso-height-relative:page;" filled="f" stroked="f" coordsize="21600,21600" o:gfxdata="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75bEl2QAAAA4BAAAPAAAAAAAAAAEAIAAAACIAAABkcnMv&#10;ZG93bnJldi54bWxQSwECFAAUAAAACACHTuJAv6+Kg5ABAAAjAwAADgAAAAAAAAABACAAAAAoAQAA&#10;ZHJzL2Uyb0RvYy54bWxQSwUGAAAAAAYABgBZAQAAKg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6101715</wp:posOffset>
              </wp:positionH>
              <wp:positionV relativeFrom="page">
                <wp:posOffset>9629775</wp:posOffset>
              </wp:positionV>
              <wp:extent cx="537210" cy="105410"/>
              <wp:effectExtent l="0" t="0" r="0" b="0"/>
              <wp:wrapNone/>
              <wp:docPr id="33" name="Shape 33"/>
              <wp:cNvGraphicFramePr/>
              <a:graphic xmlns:a="http://schemas.openxmlformats.org/drawingml/2006/main">
                <a:graphicData uri="http://schemas.microsoft.com/office/word/2010/wordprocessingShape">
                  <wps:wsp>
                    <wps:cNvSpPr txBox="1"/>
                    <wps:spPr>
                      <a:xfrm>
                        <a:off x="0" y="0"/>
                        <a:ext cx="537210" cy="10541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wps:txbx>
                    <wps:bodyPr wrap="none" lIns="0" tIns="0" rIns="0" bIns="0">
                      <a:spAutoFit/>
                    </wps:bodyPr>
                  </wps:wsp>
                </a:graphicData>
              </a:graphic>
            </wp:anchor>
          </w:drawing>
        </mc:Choice>
        <mc:Fallback>
          <w:pict>
            <v:shape id="Shape 33" o:spid="_x0000_s1026" o:spt="202" type="#_x0000_t202" style="position:absolute;left:0pt;margin-left:480.45pt;margin-top:758.25pt;height:8.3pt;width:42.3pt;mso-position-horizontal-relative:page;mso-position-vertical-relative:page;mso-wrap-style:none;z-index:-440400896;mso-width-relative:page;mso-height-relative:page;" filled="f" stroked="f" coordsize="21600,21600" o:gfxdata="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75bEl2QAAAA4BAAAPAAAAAAAAAAEAIAAAACIAAABkcnMvZG93&#10;bnJldi54bWxQSwECFAAUAAAACACHTuJAvy5OM40BAAAjAwAADgAAAAAAAAABACAAAAAo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6322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Body text|2_"/>
    <w:basedOn w:val="3"/>
    <w:link w:val="5"/>
    <w:uiPriority w:val="0"/>
    <w:rPr>
      <w:rFonts w:ascii="宋体" w:hAnsi="宋体" w:eastAsia="宋体" w:cs="宋体"/>
      <w:color w:val="F61819"/>
      <w:sz w:val="46"/>
      <w:szCs w:val="46"/>
      <w:u w:val="none"/>
      <w:shd w:val="clear" w:color="auto" w:fill="auto"/>
      <w:lang w:val="zh-TW" w:eastAsia="zh-TW" w:bidi="zh-TW"/>
    </w:rPr>
  </w:style>
  <w:style w:type="paragraph" w:customStyle="1" w:styleId="5">
    <w:name w:val="Body text|2"/>
    <w:basedOn w:val="1"/>
    <w:link w:val="4"/>
    <w:uiPriority w:val="0"/>
    <w:pPr>
      <w:widowControl w:val="0"/>
      <w:shd w:val="clear" w:color="auto" w:fill="auto"/>
      <w:spacing w:line="683" w:lineRule="exact"/>
    </w:pPr>
    <w:rPr>
      <w:rFonts w:ascii="宋体" w:hAnsi="宋体" w:eastAsia="宋体" w:cs="宋体"/>
      <w:color w:val="F61819"/>
      <w:sz w:val="46"/>
      <w:szCs w:val="46"/>
      <w:u w:val="none"/>
      <w:shd w:val="clear" w:color="auto" w:fill="auto"/>
      <w:lang w:val="zh-TW" w:eastAsia="zh-TW" w:bidi="zh-TW"/>
    </w:rPr>
  </w:style>
  <w:style w:type="character" w:customStyle="1" w:styleId="6">
    <w:name w:val="Body text|1_"/>
    <w:basedOn w:val="3"/>
    <w:link w:val="7"/>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character" w:customStyle="1" w:styleId="8">
    <w:name w:val="Body text|3_"/>
    <w:basedOn w:val="3"/>
    <w:link w:val="9"/>
    <w:uiPriority w:val="0"/>
    <w:rPr>
      <w:rFonts w:ascii="宋体" w:hAnsi="宋体" w:eastAsia="宋体" w:cs="宋体"/>
      <w:sz w:val="44"/>
      <w:szCs w:val="44"/>
      <w:u w:val="none"/>
      <w:shd w:val="clear" w:color="auto" w:fill="auto"/>
      <w:lang w:val="zh-TW" w:eastAsia="zh-TW" w:bidi="zh-TW"/>
    </w:rPr>
  </w:style>
  <w:style w:type="paragraph" w:customStyle="1" w:styleId="9">
    <w:name w:val="Body text|3"/>
    <w:basedOn w:val="1"/>
    <w:link w:val="8"/>
    <w:uiPriority w:val="0"/>
    <w:pPr>
      <w:widowControl w:val="0"/>
      <w:shd w:val="clear" w:color="auto" w:fill="auto"/>
      <w:spacing w:after="500" w:line="616" w:lineRule="exact"/>
      <w:jc w:val="center"/>
    </w:pPr>
    <w:rPr>
      <w:rFonts w:ascii="宋体" w:hAnsi="宋体" w:eastAsia="宋体" w:cs="宋体"/>
      <w:sz w:val="44"/>
      <w:szCs w:val="44"/>
      <w:u w:val="none"/>
      <w:shd w:val="clear" w:color="auto" w:fill="auto"/>
      <w:lang w:val="zh-TW" w:eastAsia="zh-TW" w:bidi="zh-TW"/>
    </w:rPr>
  </w:style>
  <w:style w:type="character" w:customStyle="1" w:styleId="10">
    <w:name w:val="Header or footer|2_"/>
    <w:basedOn w:val="3"/>
    <w:link w:val="11"/>
    <w:uiPriority w:val="0"/>
    <w:rPr>
      <w:sz w:val="20"/>
      <w:szCs w:val="20"/>
      <w:u w:val="none"/>
      <w:shd w:val="clear" w:color="auto" w:fill="auto"/>
      <w:lang w:val="zh-TW" w:eastAsia="zh-TW" w:bidi="zh-TW"/>
    </w:rPr>
  </w:style>
  <w:style w:type="paragraph" w:customStyle="1" w:styleId="11">
    <w:name w:val="Header or footer|2"/>
    <w:basedOn w:val="1"/>
    <w:link w:val="10"/>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2021-01-06T16:36:40Z</dcterms:created>
  <dc:creator>Administrator</dc:creator>
  <cp:lastModifiedBy>叶wy</cp:lastModifiedBy>
  <dcterms:modified xsi:type="dcterms:W3CDTF">2021-01-06T16:41:37Z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