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0F22B7">
      <w:pPr>
        <w:jc w:val="left"/>
        <w:outlineLvl w:val="1"/>
        <w:rPr>
          <w:rFonts w:hint="eastAsia" w:ascii="Times New Roman" w:hAnsi="Times New Roman" w:eastAsia="黑体" w:cs="Times New Roman"/>
          <w:sz w:val="32"/>
          <w:szCs w:val="32"/>
          <w:lang w:val="en-US" w:eastAsia="zh-CN"/>
        </w:rPr>
      </w:pPr>
      <w:r>
        <w:rPr>
          <w:rFonts w:ascii="Times New Roman" w:hAnsi="Times New Roman" w:eastAsia="黑体" w:cs="Times New Roman"/>
          <w:sz w:val="32"/>
          <w:szCs w:val="32"/>
        </w:rPr>
        <w:t>附</w:t>
      </w:r>
      <w:r>
        <w:rPr>
          <w:rFonts w:hint="eastAsia" w:ascii="Times New Roman" w:hAnsi="Times New Roman" w:eastAsia="黑体" w:cs="Times New Roman"/>
          <w:sz w:val="32"/>
          <w:szCs w:val="32"/>
        </w:rPr>
        <w:t>件</w:t>
      </w:r>
      <w:r>
        <w:rPr>
          <w:rFonts w:hint="eastAsia" w:ascii="Times New Roman" w:hAnsi="Times New Roman" w:eastAsia="黑体" w:cs="Times New Roman"/>
          <w:sz w:val="32"/>
          <w:szCs w:val="32"/>
          <w:lang w:val="en-US" w:eastAsia="zh-CN"/>
        </w:rPr>
        <w:t>3</w:t>
      </w:r>
      <w:bookmarkStart w:id="0" w:name="_GoBack"/>
      <w:bookmarkEnd w:id="0"/>
    </w:p>
    <w:p w14:paraId="56FD5AB4">
      <w:pPr>
        <w:jc w:val="center"/>
        <w:outlineLvl w:val="1"/>
        <w:rPr>
          <w:rFonts w:ascii="Times New Roman" w:hAnsi="Times New Roman" w:eastAsia="方正小标宋简体" w:cs="Times New Roman"/>
          <w:bCs/>
          <w:sz w:val="36"/>
          <w:szCs w:val="36"/>
        </w:rPr>
      </w:pPr>
      <w:r>
        <w:rPr>
          <w:rFonts w:ascii="Times New Roman" w:hAnsi="Times New Roman" w:eastAsia="方正小标宋简体" w:cs="Times New Roman"/>
          <w:bCs/>
          <w:sz w:val="36"/>
          <w:szCs w:val="36"/>
        </w:rPr>
        <w:t>绿色</w:t>
      </w:r>
      <w:r>
        <w:rPr>
          <w:rFonts w:ascii="Times New Roman" w:hAnsi="Times New Roman" w:eastAsia="方正小标宋简体" w:cs="Times New Roman"/>
          <w:bCs/>
          <w:sz w:val="36"/>
          <w:szCs w:val="36"/>
          <w:lang w:val="en"/>
        </w:rPr>
        <w:t>工业</w:t>
      </w:r>
      <w:r>
        <w:rPr>
          <w:rFonts w:ascii="Times New Roman" w:hAnsi="Times New Roman" w:eastAsia="方正小标宋简体" w:cs="Times New Roman"/>
          <w:bCs/>
          <w:sz w:val="36"/>
          <w:szCs w:val="36"/>
        </w:rPr>
        <w:t>园区评价要求</w:t>
      </w:r>
    </w:p>
    <w:p w14:paraId="0966F25C">
      <w:pPr>
        <w:ind w:firstLine="643" w:firstLineChars="200"/>
        <w:rPr>
          <w:rFonts w:ascii="Times New Roman" w:hAnsi="Times New Roman" w:eastAsia="仿宋_GB2312" w:cs="Times New Roman"/>
          <w:b/>
          <w:sz w:val="32"/>
          <w:szCs w:val="32"/>
        </w:rPr>
      </w:pPr>
    </w:p>
    <w:p w14:paraId="79688DCB">
      <w:pPr>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一、总则</w:t>
      </w:r>
    </w:p>
    <w:p w14:paraId="37310D55">
      <w:pPr>
        <w:ind w:firstLine="630"/>
        <w:rPr>
          <w:rFonts w:ascii="楷体" w:hAnsi="楷体" w:eastAsia="楷体" w:cs="楷体"/>
          <w:sz w:val="32"/>
          <w:szCs w:val="32"/>
        </w:rPr>
      </w:pPr>
      <w:r>
        <w:rPr>
          <w:rFonts w:ascii="楷体" w:hAnsi="楷体" w:eastAsia="楷体" w:cs="楷体"/>
          <w:sz w:val="32"/>
          <w:szCs w:val="32"/>
        </w:rPr>
        <w:t>（一）基本要求</w:t>
      </w:r>
    </w:p>
    <w:p w14:paraId="2712CD2A">
      <w:pPr>
        <w:ind w:firstLine="630"/>
        <w:rPr>
          <w:rFonts w:ascii="Times New Roman" w:hAnsi="Times New Roman" w:eastAsia="仿宋" w:cs="Times New Roman"/>
          <w:sz w:val="32"/>
          <w:szCs w:val="32"/>
        </w:rPr>
      </w:pPr>
      <w:r>
        <w:rPr>
          <w:rFonts w:ascii="Times New Roman" w:hAnsi="Times New Roman" w:eastAsia="仿宋" w:cs="Times New Roman"/>
          <w:sz w:val="32"/>
          <w:szCs w:val="32"/>
        </w:rPr>
        <w:t>1.国家和地方绿色、循环和低碳相关法律法规、政策和标准应得到有效的贯彻执行。涉及化工园区的应通过省级人民政府或其授权机构认定。</w:t>
      </w:r>
    </w:p>
    <w:p w14:paraId="0A9BE767">
      <w:pPr>
        <w:ind w:firstLine="630"/>
        <w:rPr>
          <w:rFonts w:ascii="Times New Roman" w:hAnsi="Times New Roman" w:eastAsia="仿宋" w:cs="Times New Roman"/>
          <w:sz w:val="32"/>
          <w:szCs w:val="32"/>
        </w:rPr>
      </w:pPr>
      <w:r>
        <w:rPr>
          <w:rFonts w:ascii="Times New Roman" w:hAnsi="Times New Roman" w:eastAsia="仿宋" w:cs="Times New Roman"/>
          <w:sz w:val="32"/>
          <w:szCs w:val="32"/>
        </w:rPr>
        <w:t>2.近三年，未发生重大污染事故或重大生态破坏事件，完成国家或地方政府下达的节能减排指标，碳排放强度持续下降。</w:t>
      </w:r>
    </w:p>
    <w:p w14:paraId="705669C1">
      <w:pPr>
        <w:ind w:firstLine="630"/>
        <w:rPr>
          <w:rFonts w:ascii="Times New Roman" w:hAnsi="Times New Roman" w:eastAsia="仿宋" w:cs="Times New Roman"/>
          <w:sz w:val="32"/>
          <w:szCs w:val="32"/>
        </w:rPr>
      </w:pPr>
      <w:r>
        <w:rPr>
          <w:rFonts w:ascii="Times New Roman" w:hAnsi="Times New Roman" w:eastAsia="仿宋" w:cs="Times New Roman"/>
          <w:sz w:val="32"/>
          <w:szCs w:val="32"/>
        </w:rPr>
        <w:t>3.环境质量达到国家或地方规定的环境功能区环境质量标准，园区内企业污染物达标排放，各类重点污染物排放总量均不超过国家或地方的总量控制要求。</w:t>
      </w:r>
    </w:p>
    <w:p w14:paraId="56917BC9">
      <w:pPr>
        <w:ind w:firstLine="630"/>
        <w:rPr>
          <w:rFonts w:ascii="Times New Roman" w:hAnsi="Times New Roman" w:eastAsia="仿宋" w:cs="Times New Roman"/>
          <w:sz w:val="32"/>
          <w:szCs w:val="32"/>
        </w:rPr>
      </w:pPr>
      <w:r>
        <w:rPr>
          <w:rFonts w:ascii="Times New Roman" w:hAnsi="Times New Roman" w:eastAsia="仿宋" w:cs="Times New Roman"/>
          <w:sz w:val="32"/>
          <w:szCs w:val="32"/>
        </w:rPr>
        <w:t>4.园区内属于《清洁生产促进法》中规定的应当实施强制性清洁生产审核的企业（评价期当年及之前公布的重点企业清洁生产审核名单中的企业）应100%实施清洁生产审核。</w:t>
      </w:r>
    </w:p>
    <w:p w14:paraId="52517846">
      <w:pPr>
        <w:ind w:firstLine="630"/>
        <w:rPr>
          <w:rFonts w:ascii="Times New Roman" w:hAnsi="Times New Roman" w:eastAsia="仿宋" w:cs="Times New Roman"/>
          <w:sz w:val="32"/>
          <w:szCs w:val="32"/>
        </w:rPr>
      </w:pPr>
      <w:r>
        <w:rPr>
          <w:rFonts w:ascii="Times New Roman" w:hAnsi="Times New Roman" w:eastAsia="仿宋" w:cs="Times New Roman"/>
          <w:sz w:val="32"/>
          <w:szCs w:val="32"/>
        </w:rPr>
        <w:t>5.园区企业不应使用国家列入淘汰目录的落后生产技术、工艺和设备，不应生产国家列入淘汰目录的产品。</w:t>
      </w:r>
    </w:p>
    <w:p w14:paraId="6F9C0888">
      <w:pPr>
        <w:ind w:firstLine="630"/>
        <w:rPr>
          <w:rFonts w:ascii="Times New Roman" w:hAnsi="Times New Roman" w:eastAsia="仿宋" w:cs="Times New Roman"/>
          <w:sz w:val="32"/>
          <w:szCs w:val="32"/>
        </w:rPr>
      </w:pPr>
      <w:r>
        <w:rPr>
          <w:rFonts w:ascii="Times New Roman" w:hAnsi="Times New Roman" w:eastAsia="仿宋" w:cs="Times New Roman"/>
          <w:sz w:val="32"/>
          <w:szCs w:val="32"/>
        </w:rPr>
        <w:t>6.园区建有履行绿色发展工作职责的专门机构、配备2名以上专职工作人员。</w:t>
      </w:r>
    </w:p>
    <w:p w14:paraId="403967CB">
      <w:pPr>
        <w:ind w:firstLine="630"/>
        <w:rPr>
          <w:rFonts w:ascii="Times New Roman" w:hAnsi="Times New Roman" w:eastAsia="仿宋" w:cs="Times New Roman"/>
          <w:sz w:val="32"/>
          <w:szCs w:val="32"/>
        </w:rPr>
      </w:pPr>
      <w:r>
        <w:rPr>
          <w:rFonts w:ascii="Times New Roman" w:hAnsi="Times New Roman" w:eastAsia="仿宋" w:cs="Times New Roman"/>
          <w:sz w:val="32"/>
          <w:szCs w:val="32"/>
        </w:rPr>
        <w:t>7.鼓励园区建立并运行环境管理体系和能源管理体系，建立园区能源监测管理平台。</w:t>
      </w:r>
    </w:p>
    <w:p w14:paraId="20711F66">
      <w:pPr>
        <w:ind w:firstLine="630"/>
        <w:rPr>
          <w:rFonts w:ascii="Times New Roman" w:hAnsi="Times New Roman" w:eastAsia="仿宋" w:cs="Times New Roman"/>
          <w:sz w:val="32"/>
          <w:szCs w:val="32"/>
        </w:rPr>
      </w:pPr>
      <w:r>
        <w:rPr>
          <w:rFonts w:ascii="Times New Roman" w:hAnsi="Times New Roman" w:eastAsia="仿宋" w:cs="Times New Roman"/>
          <w:sz w:val="32"/>
          <w:szCs w:val="32"/>
        </w:rPr>
        <w:t>8.鼓励园区建设并运行风能、太阳能等可再生能源应用设施。</w:t>
      </w:r>
    </w:p>
    <w:p w14:paraId="69C11C48">
      <w:pPr>
        <w:ind w:firstLine="630"/>
        <w:rPr>
          <w:rFonts w:ascii="楷体" w:hAnsi="楷体" w:eastAsia="楷体" w:cs="楷体"/>
          <w:sz w:val="32"/>
          <w:szCs w:val="32"/>
        </w:rPr>
      </w:pPr>
      <w:r>
        <w:rPr>
          <w:rFonts w:ascii="楷体" w:hAnsi="楷体" w:eastAsia="楷体" w:cs="楷体"/>
          <w:sz w:val="32"/>
          <w:szCs w:val="32"/>
        </w:rPr>
        <w:t>（二）评价指标构成</w:t>
      </w:r>
    </w:p>
    <w:p w14:paraId="28216895">
      <w:pPr>
        <w:ind w:firstLine="63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绿色工业园区</w:t>
      </w:r>
      <w:r>
        <w:rPr>
          <w:rFonts w:ascii="Times New Roman" w:hAnsi="Times New Roman" w:eastAsia="仿宋_GB2312" w:cs="Times New Roman"/>
          <w:sz w:val="32"/>
          <w:szCs w:val="32"/>
        </w:rPr>
        <w:t>评价指标体系包括能源利用绿色化指标、资源利用绿色化指标、基础设施绿色化指标、产业绿色化指标、生态环境绿色化指标、运行管理绿色化指标6个方面。具体如附表</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1所示。</w:t>
      </w:r>
    </w:p>
    <w:p w14:paraId="1CD5C635">
      <w:pPr>
        <w:ind w:firstLine="630"/>
        <w:jc w:val="center"/>
        <w:rPr>
          <w:rFonts w:ascii="Times New Roman" w:hAnsi="Times New Roman" w:eastAsia="黑体" w:cs="Times New Roman"/>
          <w:sz w:val="28"/>
          <w:szCs w:val="28"/>
        </w:rPr>
      </w:pPr>
      <w:r>
        <w:rPr>
          <w:rFonts w:ascii="Times New Roman" w:hAnsi="Times New Roman" w:eastAsia="黑体" w:cs="Times New Roman"/>
          <w:sz w:val="28"/>
          <w:szCs w:val="28"/>
        </w:rPr>
        <w:t>附表</w:t>
      </w:r>
      <w:r>
        <w:rPr>
          <w:rFonts w:hint="eastAsia" w:ascii="Times New Roman" w:hAnsi="Times New Roman" w:eastAsia="黑体" w:cs="Times New Roman"/>
          <w:sz w:val="28"/>
          <w:szCs w:val="28"/>
        </w:rPr>
        <w:t>2.</w:t>
      </w:r>
      <w:r>
        <w:rPr>
          <w:rFonts w:ascii="Times New Roman" w:hAnsi="Times New Roman" w:eastAsia="黑体" w:cs="Times New Roman"/>
          <w:sz w:val="28"/>
          <w:szCs w:val="28"/>
        </w:rPr>
        <w:t xml:space="preserve">1 </w:t>
      </w:r>
      <w:r>
        <w:rPr>
          <w:rFonts w:hint="eastAsia" w:ascii="Times New Roman" w:hAnsi="Times New Roman" w:eastAsia="黑体" w:cs="Times New Roman"/>
          <w:sz w:val="28"/>
          <w:szCs w:val="28"/>
        </w:rPr>
        <w:t>绿色工业园区</w:t>
      </w:r>
      <w:r>
        <w:rPr>
          <w:rFonts w:ascii="Times New Roman" w:hAnsi="Times New Roman" w:eastAsia="黑体" w:cs="Times New Roman"/>
          <w:sz w:val="28"/>
          <w:szCs w:val="28"/>
        </w:rPr>
        <w:t>评价指标体系</w:t>
      </w:r>
    </w:p>
    <w:tbl>
      <w:tblPr>
        <w:tblStyle w:val="12"/>
        <w:tblW w:w="9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9"/>
        <w:gridCol w:w="869"/>
        <w:gridCol w:w="3680"/>
        <w:gridCol w:w="1140"/>
        <w:gridCol w:w="1276"/>
        <w:gridCol w:w="1363"/>
      </w:tblGrid>
      <w:tr w14:paraId="774C9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459" w:type="dxa"/>
            <w:vAlign w:val="center"/>
          </w:tcPr>
          <w:p w14:paraId="61AF31F3">
            <w:pPr>
              <w:adjustRightInd w:val="0"/>
              <w:snapToGrid w:val="0"/>
              <w:jc w:val="center"/>
              <w:rPr>
                <w:rFonts w:ascii="Times New Roman" w:hAnsi="Times New Roman" w:eastAsia="仿宋_GB2312" w:cs="Times New Roman"/>
                <w:b/>
                <w:kern w:val="0"/>
                <w:sz w:val="28"/>
                <w:szCs w:val="28"/>
              </w:rPr>
            </w:pPr>
            <w:r>
              <w:rPr>
                <w:rFonts w:ascii="Times New Roman" w:hAnsi="Times New Roman" w:eastAsia="仿宋_GB2312" w:cs="Times New Roman"/>
                <w:b/>
                <w:kern w:val="0"/>
                <w:sz w:val="28"/>
                <w:szCs w:val="28"/>
              </w:rPr>
              <w:t>一级指标</w:t>
            </w:r>
          </w:p>
        </w:tc>
        <w:tc>
          <w:tcPr>
            <w:tcW w:w="869" w:type="dxa"/>
            <w:vAlign w:val="center"/>
          </w:tcPr>
          <w:p w14:paraId="0FCE8B76">
            <w:pPr>
              <w:adjustRightInd w:val="0"/>
              <w:snapToGrid w:val="0"/>
              <w:jc w:val="center"/>
              <w:rPr>
                <w:rFonts w:ascii="Times New Roman" w:hAnsi="Times New Roman" w:eastAsia="仿宋_GB2312" w:cs="Times New Roman"/>
                <w:b/>
                <w:kern w:val="0"/>
                <w:sz w:val="28"/>
                <w:szCs w:val="28"/>
              </w:rPr>
            </w:pPr>
            <w:r>
              <w:rPr>
                <w:rFonts w:ascii="Times New Roman" w:hAnsi="Times New Roman" w:eastAsia="仿宋_GB2312" w:cs="Times New Roman"/>
                <w:b/>
                <w:kern w:val="0"/>
                <w:sz w:val="28"/>
                <w:szCs w:val="28"/>
              </w:rPr>
              <w:t>序号</w:t>
            </w:r>
          </w:p>
        </w:tc>
        <w:tc>
          <w:tcPr>
            <w:tcW w:w="3680" w:type="dxa"/>
            <w:vAlign w:val="center"/>
          </w:tcPr>
          <w:p w14:paraId="611A9DB3">
            <w:pPr>
              <w:adjustRightInd w:val="0"/>
              <w:snapToGrid w:val="0"/>
              <w:ind w:firstLine="562"/>
              <w:jc w:val="center"/>
              <w:rPr>
                <w:rFonts w:ascii="Times New Roman" w:hAnsi="Times New Roman" w:eastAsia="仿宋_GB2312" w:cs="Times New Roman"/>
                <w:b/>
                <w:kern w:val="0"/>
                <w:sz w:val="28"/>
                <w:szCs w:val="28"/>
              </w:rPr>
            </w:pPr>
            <w:r>
              <w:rPr>
                <w:rFonts w:ascii="Times New Roman" w:hAnsi="Times New Roman" w:eastAsia="仿宋_GB2312" w:cs="Times New Roman"/>
                <w:b/>
                <w:kern w:val="0"/>
                <w:sz w:val="28"/>
                <w:szCs w:val="28"/>
              </w:rPr>
              <w:t>二级指标</w:t>
            </w:r>
          </w:p>
        </w:tc>
        <w:tc>
          <w:tcPr>
            <w:tcW w:w="1140" w:type="dxa"/>
            <w:vAlign w:val="center"/>
          </w:tcPr>
          <w:p w14:paraId="22740EC1">
            <w:pPr>
              <w:adjustRightInd w:val="0"/>
              <w:snapToGrid w:val="0"/>
              <w:jc w:val="center"/>
              <w:rPr>
                <w:rFonts w:ascii="Times New Roman" w:hAnsi="Times New Roman" w:eastAsia="仿宋_GB2312" w:cs="Times New Roman"/>
                <w:b/>
                <w:kern w:val="0"/>
                <w:sz w:val="28"/>
                <w:szCs w:val="28"/>
              </w:rPr>
            </w:pPr>
            <w:r>
              <w:rPr>
                <w:rFonts w:ascii="Times New Roman" w:hAnsi="Times New Roman" w:eastAsia="仿宋_GB2312" w:cs="Times New Roman"/>
                <w:b/>
                <w:kern w:val="0"/>
                <w:sz w:val="28"/>
                <w:szCs w:val="28"/>
              </w:rPr>
              <w:t>单位</w:t>
            </w:r>
          </w:p>
        </w:tc>
        <w:tc>
          <w:tcPr>
            <w:tcW w:w="1276" w:type="dxa"/>
            <w:vAlign w:val="center"/>
          </w:tcPr>
          <w:p w14:paraId="61FBA795">
            <w:pPr>
              <w:adjustRightInd w:val="0"/>
              <w:snapToGrid w:val="0"/>
              <w:jc w:val="center"/>
              <w:rPr>
                <w:rFonts w:ascii="Times New Roman" w:hAnsi="Times New Roman" w:eastAsia="仿宋_GB2312" w:cs="Times New Roman"/>
                <w:b/>
                <w:kern w:val="0"/>
                <w:sz w:val="28"/>
                <w:szCs w:val="28"/>
              </w:rPr>
            </w:pPr>
            <w:r>
              <w:rPr>
                <w:rFonts w:ascii="Times New Roman" w:hAnsi="Times New Roman" w:eastAsia="仿宋_GB2312" w:cs="Times New Roman"/>
                <w:b/>
                <w:kern w:val="0"/>
                <w:sz w:val="28"/>
                <w:szCs w:val="28"/>
              </w:rPr>
              <w:t>引领值</w:t>
            </w:r>
          </w:p>
        </w:tc>
        <w:tc>
          <w:tcPr>
            <w:tcW w:w="1363" w:type="dxa"/>
            <w:vAlign w:val="center"/>
          </w:tcPr>
          <w:p w14:paraId="3A5BB79C">
            <w:pPr>
              <w:adjustRightInd w:val="0"/>
              <w:snapToGrid w:val="0"/>
              <w:jc w:val="center"/>
              <w:rPr>
                <w:rFonts w:ascii="Times New Roman" w:hAnsi="Times New Roman" w:eastAsia="仿宋_GB2312" w:cs="Times New Roman"/>
                <w:b/>
                <w:kern w:val="0"/>
                <w:sz w:val="28"/>
                <w:szCs w:val="28"/>
              </w:rPr>
            </w:pPr>
            <w:r>
              <w:rPr>
                <w:rFonts w:ascii="Times New Roman" w:hAnsi="Times New Roman" w:eastAsia="仿宋_GB2312" w:cs="Times New Roman"/>
                <w:b/>
                <w:kern w:val="0"/>
                <w:sz w:val="28"/>
                <w:szCs w:val="28"/>
              </w:rPr>
              <w:t>类型</w:t>
            </w:r>
          </w:p>
        </w:tc>
      </w:tr>
      <w:tr w14:paraId="7E8D4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459" w:type="dxa"/>
            <w:vMerge w:val="restart"/>
            <w:vAlign w:val="center"/>
          </w:tcPr>
          <w:p w14:paraId="2CB3FE09">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能源利用绿色化指标（EG）</w:t>
            </w:r>
          </w:p>
        </w:tc>
        <w:tc>
          <w:tcPr>
            <w:tcW w:w="869" w:type="dxa"/>
            <w:vAlign w:val="center"/>
          </w:tcPr>
          <w:p w14:paraId="33F72C99">
            <w:pPr>
              <w:pStyle w:val="17"/>
              <w:adjustRightInd w:val="0"/>
              <w:snapToGrid w:val="0"/>
              <w:ind w:firstLine="0" w:firstLineChars="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w:t>
            </w:r>
          </w:p>
        </w:tc>
        <w:tc>
          <w:tcPr>
            <w:tcW w:w="3680" w:type="dxa"/>
            <w:vAlign w:val="center"/>
          </w:tcPr>
          <w:p w14:paraId="73B4EBCC">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能源产出率</w:t>
            </w:r>
          </w:p>
        </w:tc>
        <w:tc>
          <w:tcPr>
            <w:tcW w:w="1140" w:type="dxa"/>
            <w:vAlign w:val="center"/>
          </w:tcPr>
          <w:p w14:paraId="596262EE">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万元/tce</w:t>
            </w:r>
          </w:p>
        </w:tc>
        <w:tc>
          <w:tcPr>
            <w:tcW w:w="1276" w:type="dxa"/>
            <w:vAlign w:val="center"/>
          </w:tcPr>
          <w:p w14:paraId="446BF779">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3</w:t>
            </w:r>
          </w:p>
        </w:tc>
        <w:tc>
          <w:tcPr>
            <w:tcW w:w="1363" w:type="dxa"/>
            <w:vAlign w:val="center"/>
          </w:tcPr>
          <w:p w14:paraId="41997529">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必选</w:t>
            </w:r>
          </w:p>
        </w:tc>
      </w:tr>
      <w:tr w14:paraId="53511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59" w:type="dxa"/>
            <w:vMerge w:val="continue"/>
            <w:vAlign w:val="center"/>
          </w:tcPr>
          <w:p w14:paraId="7A6C22F4">
            <w:pPr>
              <w:adjustRightInd w:val="0"/>
              <w:snapToGrid w:val="0"/>
              <w:ind w:firstLine="560"/>
              <w:jc w:val="center"/>
              <w:rPr>
                <w:rFonts w:ascii="Times New Roman" w:hAnsi="Times New Roman" w:eastAsia="仿宋_GB2312" w:cs="Times New Roman"/>
                <w:kern w:val="0"/>
                <w:sz w:val="28"/>
                <w:szCs w:val="28"/>
              </w:rPr>
            </w:pPr>
          </w:p>
        </w:tc>
        <w:tc>
          <w:tcPr>
            <w:tcW w:w="869" w:type="dxa"/>
            <w:vAlign w:val="center"/>
          </w:tcPr>
          <w:p w14:paraId="1FE3C20D">
            <w:pPr>
              <w:pStyle w:val="17"/>
              <w:adjustRightInd w:val="0"/>
              <w:snapToGrid w:val="0"/>
              <w:ind w:firstLine="0" w:firstLineChars="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w:t>
            </w:r>
          </w:p>
        </w:tc>
        <w:tc>
          <w:tcPr>
            <w:tcW w:w="3680" w:type="dxa"/>
            <w:vAlign w:val="center"/>
          </w:tcPr>
          <w:p w14:paraId="48CF287A">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可再生能源使用比例</w:t>
            </w:r>
          </w:p>
        </w:tc>
        <w:tc>
          <w:tcPr>
            <w:tcW w:w="1140" w:type="dxa"/>
            <w:vAlign w:val="center"/>
          </w:tcPr>
          <w:p w14:paraId="4D584A79">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w:t>
            </w:r>
          </w:p>
        </w:tc>
        <w:tc>
          <w:tcPr>
            <w:tcW w:w="1276" w:type="dxa"/>
            <w:vAlign w:val="center"/>
          </w:tcPr>
          <w:p w14:paraId="3057952F">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15</w:t>
            </w:r>
          </w:p>
        </w:tc>
        <w:tc>
          <w:tcPr>
            <w:tcW w:w="1363" w:type="dxa"/>
            <w:vAlign w:val="center"/>
          </w:tcPr>
          <w:p w14:paraId="510ABFCA">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必选</w:t>
            </w:r>
          </w:p>
        </w:tc>
      </w:tr>
      <w:tr w14:paraId="70FC5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59" w:type="dxa"/>
            <w:vMerge w:val="continue"/>
            <w:vAlign w:val="center"/>
          </w:tcPr>
          <w:p w14:paraId="66CAA748">
            <w:pPr>
              <w:adjustRightInd w:val="0"/>
              <w:snapToGrid w:val="0"/>
              <w:ind w:firstLine="560"/>
              <w:jc w:val="center"/>
              <w:rPr>
                <w:rFonts w:ascii="Times New Roman" w:hAnsi="Times New Roman" w:eastAsia="仿宋_GB2312" w:cs="Times New Roman"/>
                <w:kern w:val="0"/>
                <w:sz w:val="28"/>
                <w:szCs w:val="28"/>
              </w:rPr>
            </w:pPr>
          </w:p>
        </w:tc>
        <w:tc>
          <w:tcPr>
            <w:tcW w:w="869" w:type="dxa"/>
            <w:vAlign w:val="center"/>
          </w:tcPr>
          <w:p w14:paraId="7BE3B096">
            <w:pPr>
              <w:pStyle w:val="17"/>
              <w:adjustRightInd w:val="0"/>
              <w:snapToGrid w:val="0"/>
              <w:ind w:firstLine="0" w:firstLineChars="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3</w:t>
            </w:r>
          </w:p>
        </w:tc>
        <w:tc>
          <w:tcPr>
            <w:tcW w:w="3680" w:type="dxa"/>
            <w:vAlign w:val="center"/>
          </w:tcPr>
          <w:p w14:paraId="48BF2DAD">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清洁能源使用率</w:t>
            </w:r>
          </w:p>
        </w:tc>
        <w:tc>
          <w:tcPr>
            <w:tcW w:w="1140" w:type="dxa"/>
            <w:vAlign w:val="center"/>
          </w:tcPr>
          <w:p w14:paraId="3066CB17">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w:t>
            </w:r>
          </w:p>
        </w:tc>
        <w:tc>
          <w:tcPr>
            <w:tcW w:w="1276" w:type="dxa"/>
            <w:vAlign w:val="center"/>
          </w:tcPr>
          <w:p w14:paraId="21B98346">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75</w:t>
            </w:r>
          </w:p>
        </w:tc>
        <w:tc>
          <w:tcPr>
            <w:tcW w:w="1363" w:type="dxa"/>
            <w:vAlign w:val="center"/>
          </w:tcPr>
          <w:p w14:paraId="2B383B8A">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必选</w:t>
            </w:r>
          </w:p>
        </w:tc>
      </w:tr>
      <w:tr w14:paraId="3BB8B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9" w:type="dxa"/>
            <w:vMerge w:val="restart"/>
            <w:vAlign w:val="center"/>
          </w:tcPr>
          <w:p w14:paraId="28518D0B">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资源利用绿色化指标</w:t>
            </w:r>
            <w:r>
              <w:rPr>
                <w:rFonts w:hint="eastAsia" w:ascii="Times New Roman" w:hAnsi="Times New Roman" w:eastAsia="仿宋_GB2312" w:cs="Times New Roman"/>
                <w:kern w:val="0"/>
                <w:sz w:val="28"/>
                <w:szCs w:val="28"/>
              </w:rPr>
              <w:t>（</w:t>
            </w:r>
            <w:r>
              <w:rPr>
                <w:rFonts w:ascii="Times New Roman" w:hAnsi="Times New Roman" w:eastAsia="仿宋_GB2312" w:cs="Times New Roman"/>
                <w:kern w:val="0"/>
                <w:sz w:val="28"/>
                <w:szCs w:val="28"/>
              </w:rPr>
              <w:t>RG</w:t>
            </w:r>
            <w:r>
              <w:rPr>
                <w:rFonts w:hint="eastAsia" w:ascii="Times New Roman" w:hAnsi="Times New Roman" w:eastAsia="仿宋_GB2312" w:cs="Times New Roman"/>
                <w:kern w:val="0"/>
                <w:sz w:val="28"/>
                <w:szCs w:val="28"/>
              </w:rPr>
              <w:t>）</w:t>
            </w:r>
          </w:p>
        </w:tc>
        <w:tc>
          <w:tcPr>
            <w:tcW w:w="869" w:type="dxa"/>
            <w:vAlign w:val="center"/>
          </w:tcPr>
          <w:p w14:paraId="14604442">
            <w:pPr>
              <w:pStyle w:val="17"/>
              <w:adjustRightInd w:val="0"/>
              <w:snapToGrid w:val="0"/>
              <w:ind w:firstLine="0" w:firstLineChars="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4</w:t>
            </w:r>
          </w:p>
        </w:tc>
        <w:tc>
          <w:tcPr>
            <w:tcW w:w="3680" w:type="dxa"/>
            <w:vAlign w:val="center"/>
          </w:tcPr>
          <w:p w14:paraId="03B3B91F">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水资源产出率</w:t>
            </w:r>
          </w:p>
        </w:tc>
        <w:tc>
          <w:tcPr>
            <w:tcW w:w="1140" w:type="dxa"/>
            <w:vAlign w:val="center"/>
          </w:tcPr>
          <w:p w14:paraId="58D7A8D0">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元/m</w:t>
            </w:r>
            <w:r>
              <w:rPr>
                <w:rFonts w:ascii="Times New Roman" w:hAnsi="Times New Roman" w:eastAsia="仿宋_GB2312" w:cs="Times New Roman"/>
                <w:kern w:val="0"/>
                <w:sz w:val="28"/>
                <w:szCs w:val="28"/>
                <w:vertAlign w:val="superscript"/>
              </w:rPr>
              <w:t>3</w:t>
            </w:r>
          </w:p>
        </w:tc>
        <w:tc>
          <w:tcPr>
            <w:tcW w:w="1276" w:type="dxa"/>
            <w:vAlign w:val="center"/>
          </w:tcPr>
          <w:p w14:paraId="33FDF29A">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1500</w:t>
            </w:r>
          </w:p>
        </w:tc>
        <w:tc>
          <w:tcPr>
            <w:tcW w:w="1363" w:type="dxa"/>
            <w:vAlign w:val="center"/>
          </w:tcPr>
          <w:p w14:paraId="293D3989">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必选</w:t>
            </w:r>
          </w:p>
        </w:tc>
      </w:tr>
      <w:tr w14:paraId="46E30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59" w:type="dxa"/>
            <w:vMerge w:val="continue"/>
            <w:vAlign w:val="center"/>
          </w:tcPr>
          <w:p w14:paraId="3B80EFD0">
            <w:pPr>
              <w:adjustRightInd w:val="0"/>
              <w:snapToGrid w:val="0"/>
              <w:ind w:firstLine="560"/>
              <w:jc w:val="center"/>
              <w:rPr>
                <w:rFonts w:ascii="Times New Roman" w:hAnsi="Times New Roman" w:eastAsia="仿宋_GB2312" w:cs="Times New Roman"/>
                <w:kern w:val="0"/>
                <w:sz w:val="28"/>
                <w:szCs w:val="28"/>
              </w:rPr>
            </w:pPr>
          </w:p>
        </w:tc>
        <w:tc>
          <w:tcPr>
            <w:tcW w:w="869" w:type="dxa"/>
            <w:vAlign w:val="center"/>
          </w:tcPr>
          <w:p w14:paraId="1F7618B7">
            <w:pPr>
              <w:pStyle w:val="17"/>
              <w:adjustRightInd w:val="0"/>
              <w:snapToGrid w:val="0"/>
              <w:ind w:firstLine="0" w:firstLineChars="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5</w:t>
            </w:r>
          </w:p>
        </w:tc>
        <w:tc>
          <w:tcPr>
            <w:tcW w:w="3680" w:type="dxa"/>
            <w:vAlign w:val="center"/>
          </w:tcPr>
          <w:p w14:paraId="68F35AFA">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土地资源产出率</w:t>
            </w:r>
          </w:p>
        </w:tc>
        <w:tc>
          <w:tcPr>
            <w:tcW w:w="1140" w:type="dxa"/>
            <w:vAlign w:val="center"/>
          </w:tcPr>
          <w:p w14:paraId="5853BFDA">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亿元/km</w:t>
            </w:r>
            <w:r>
              <w:rPr>
                <w:rFonts w:ascii="Times New Roman" w:hAnsi="Times New Roman" w:eastAsia="仿宋_GB2312" w:cs="Times New Roman"/>
                <w:kern w:val="0"/>
                <w:sz w:val="28"/>
                <w:szCs w:val="28"/>
                <w:vertAlign w:val="superscript"/>
              </w:rPr>
              <w:t>2</w:t>
            </w:r>
          </w:p>
        </w:tc>
        <w:tc>
          <w:tcPr>
            <w:tcW w:w="1276" w:type="dxa"/>
            <w:vAlign w:val="center"/>
          </w:tcPr>
          <w:p w14:paraId="2129EBF0">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15</w:t>
            </w:r>
          </w:p>
        </w:tc>
        <w:tc>
          <w:tcPr>
            <w:tcW w:w="1363" w:type="dxa"/>
            <w:vAlign w:val="center"/>
          </w:tcPr>
          <w:p w14:paraId="37184550">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必选</w:t>
            </w:r>
          </w:p>
        </w:tc>
      </w:tr>
      <w:tr w14:paraId="266BB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59" w:type="dxa"/>
            <w:vMerge w:val="continue"/>
            <w:vAlign w:val="center"/>
          </w:tcPr>
          <w:p w14:paraId="1051D4E0">
            <w:pPr>
              <w:adjustRightInd w:val="0"/>
              <w:snapToGrid w:val="0"/>
              <w:ind w:firstLine="560"/>
              <w:jc w:val="center"/>
              <w:rPr>
                <w:rFonts w:ascii="Times New Roman" w:hAnsi="Times New Roman" w:eastAsia="仿宋_GB2312" w:cs="Times New Roman"/>
                <w:kern w:val="0"/>
                <w:sz w:val="28"/>
                <w:szCs w:val="28"/>
              </w:rPr>
            </w:pPr>
          </w:p>
        </w:tc>
        <w:tc>
          <w:tcPr>
            <w:tcW w:w="869" w:type="dxa"/>
            <w:vAlign w:val="center"/>
          </w:tcPr>
          <w:p w14:paraId="4D774B0F">
            <w:pPr>
              <w:pStyle w:val="17"/>
              <w:adjustRightInd w:val="0"/>
              <w:snapToGrid w:val="0"/>
              <w:ind w:firstLine="0" w:firstLineChars="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6</w:t>
            </w:r>
          </w:p>
        </w:tc>
        <w:tc>
          <w:tcPr>
            <w:tcW w:w="3680" w:type="dxa"/>
            <w:vAlign w:val="center"/>
          </w:tcPr>
          <w:p w14:paraId="5F02313A">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工业固体废弃物综合利用率</w:t>
            </w:r>
          </w:p>
        </w:tc>
        <w:tc>
          <w:tcPr>
            <w:tcW w:w="1140" w:type="dxa"/>
            <w:vAlign w:val="center"/>
          </w:tcPr>
          <w:p w14:paraId="090B0F1B">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w:t>
            </w:r>
          </w:p>
        </w:tc>
        <w:tc>
          <w:tcPr>
            <w:tcW w:w="1276" w:type="dxa"/>
            <w:vAlign w:val="center"/>
          </w:tcPr>
          <w:p w14:paraId="74D2CF2B">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95</w:t>
            </w:r>
          </w:p>
        </w:tc>
        <w:tc>
          <w:tcPr>
            <w:tcW w:w="1363" w:type="dxa"/>
            <w:vAlign w:val="center"/>
          </w:tcPr>
          <w:p w14:paraId="02CFFBC4">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必选</w:t>
            </w:r>
          </w:p>
        </w:tc>
      </w:tr>
      <w:tr w14:paraId="1DA46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59" w:type="dxa"/>
            <w:vMerge w:val="continue"/>
            <w:vAlign w:val="center"/>
          </w:tcPr>
          <w:p w14:paraId="769B3927">
            <w:pPr>
              <w:adjustRightInd w:val="0"/>
              <w:snapToGrid w:val="0"/>
              <w:ind w:firstLine="560"/>
              <w:jc w:val="center"/>
              <w:rPr>
                <w:rFonts w:ascii="Times New Roman" w:hAnsi="Times New Roman" w:eastAsia="仿宋_GB2312" w:cs="Times New Roman"/>
                <w:kern w:val="0"/>
                <w:sz w:val="28"/>
                <w:szCs w:val="28"/>
              </w:rPr>
            </w:pPr>
          </w:p>
        </w:tc>
        <w:tc>
          <w:tcPr>
            <w:tcW w:w="869" w:type="dxa"/>
            <w:vAlign w:val="center"/>
          </w:tcPr>
          <w:p w14:paraId="78A6CFD9">
            <w:pPr>
              <w:pStyle w:val="17"/>
              <w:adjustRightInd w:val="0"/>
              <w:snapToGrid w:val="0"/>
              <w:ind w:firstLine="0" w:firstLineChars="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7</w:t>
            </w:r>
          </w:p>
        </w:tc>
        <w:tc>
          <w:tcPr>
            <w:tcW w:w="3680" w:type="dxa"/>
            <w:vAlign w:val="center"/>
          </w:tcPr>
          <w:p w14:paraId="50674C4F">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工业用水重复利用率</w:t>
            </w:r>
          </w:p>
        </w:tc>
        <w:tc>
          <w:tcPr>
            <w:tcW w:w="1140" w:type="dxa"/>
            <w:vAlign w:val="center"/>
          </w:tcPr>
          <w:p w14:paraId="5B64CD06">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w:t>
            </w:r>
          </w:p>
        </w:tc>
        <w:tc>
          <w:tcPr>
            <w:tcW w:w="1276" w:type="dxa"/>
            <w:vAlign w:val="center"/>
          </w:tcPr>
          <w:p w14:paraId="16EE0E5F">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90</w:t>
            </w:r>
          </w:p>
        </w:tc>
        <w:tc>
          <w:tcPr>
            <w:tcW w:w="1363" w:type="dxa"/>
            <w:vAlign w:val="center"/>
          </w:tcPr>
          <w:p w14:paraId="44141355">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必选</w:t>
            </w:r>
          </w:p>
        </w:tc>
      </w:tr>
      <w:tr w14:paraId="00450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59" w:type="dxa"/>
            <w:vMerge w:val="continue"/>
            <w:vAlign w:val="center"/>
          </w:tcPr>
          <w:p w14:paraId="7ECACFEB">
            <w:pPr>
              <w:adjustRightInd w:val="0"/>
              <w:snapToGrid w:val="0"/>
              <w:ind w:firstLine="560"/>
              <w:jc w:val="center"/>
              <w:rPr>
                <w:rFonts w:ascii="Times New Roman" w:hAnsi="Times New Roman" w:eastAsia="仿宋_GB2312" w:cs="Times New Roman"/>
                <w:kern w:val="0"/>
                <w:sz w:val="28"/>
                <w:szCs w:val="28"/>
              </w:rPr>
            </w:pPr>
          </w:p>
        </w:tc>
        <w:tc>
          <w:tcPr>
            <w:tcW w:w="869" w:type="dxa"/>
            <w:vAlign w:val="center"/>
          </w:tcPr>
          <w:p w14:paraId="3E0D0B1D">
            <w:pPr>
              <w:pStyle w:val="17"/>
              <w:adjustRightInd w:val="0"/>
              <w:snapToGrid w:val="0"/>
              <w:ind w:firstLine="0" w:firstLineChars="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8</w:t>
            </w:r>
          </w:p>
        </w:tc>
        <w:tc>
          <w:tcPr>
            <w:tcW w:w="3680" w:type="dxa"/>
            <w:vAlign w:val="center"/>
          </w:tcPr>
          <w:p w14:paraId="11B1DBC6">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中水回用率</w:t>
            </w:r>
          </w:p>
        </w:tc>
        <w:tc>
          <w:tcPr>
            <w:tcW w:w="1140" w:type="dxa"/>
            <w:vAlign w:val="center"/>
          </w:tcPr>
          <w:p w14:paraId="76B0C552">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w:t>
            </w:r>
          </w:p>
        </w:tc>
        <w:tc>
          <w:tcPr>
            <w:tcW w:w="1276" w:type="dxa"/>
            <w:vAlign w:val="center"/>
          </w:tcPr>
          <w:p w14:paraId="2FAA2C84">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30</w:t>
            </w:r>
          </w:p>
        </w:tc>
        <w:tc>
          <w:tcPr>
            <w:tcW w:w="1363" w:type="dxa"/>
            <w:vMerge w:val="restart"/>
            <w:vAlign w:val="center"/>
          </w:tcPr>
          <w:p w14:paraId="268AF232">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4项指标选2项</w:t>
            </w:r>
          </w:p>
        </w:tc>
      </w:tr>
      <w:tr w14:paraId="62F7E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59" w:type="dxa"/>
            <w:vMerge w:val="continue"/>
            <w:vAlign w:val="center"/>
          </w:tcPr>
          <w:p w14:paraId="78F37110">
            <w:pPr>
              <w:adjustRightInd w:val="0"/>
              <w:snapToGrid w:val="0"/>
              <w:ind w:firstLine="560"/>
              <w:jc w:val="center"/>
              <w:rPr>
                <w:rFonts w:ascii="Times New Roman" w:hAnsi="Times New Roman" w:eastAsia="仿宋_GB2312" w:cs="Times New Roman"/>
                <w:kern w:val="0"/>
                <w:sz w:val="28"/>
                <w:szCs w:val="28"/>
              </w:rPr>
            </w:pPr>
          </w:p>
        </w:tc>
        <w:tc>
          <w:tcPr>
            <w:tcW w:w="869" w:type="dxa"/>
            <w:vAlign w:val="center"/>
          </w:tcPr>
          <w:p w14:paraId="259DB604">
            <w:pPr>
              <w:pStyle w:val="17"/>
              <w:adjustRightInd w:val="0"/>
              <w:snapToGrid w:val="0"/>
              <w:ind w:firstLine="0" w:firstLineChars="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9</w:t>
            </w:r>
          </w:p>
        </w:tc>
        <w:tc>
          <w:tcPr>
            <w:tcW w:w="3680" w:type="dxa"/>
            <w:vAlign w:val="center"/>
          </w:tcPr>
          <w:p w14:paraId="5F34BC11">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余热资源回收利用率</w:t>
            </w:r>
          </w:p>
        </w:tc>
        <w:tc>
          <w:tcPr>
            <w:tcW w:w="1140" w:type="dxa"/>
            <w:vAlign w:val="center"/>
          </w:tcPr>
          <w:p w14:paraId="2A13BC5C">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w:t>
            </w:r>
          </w:p>
        </w:tc>
        <w:tc>
          <w:tcPr>
            <w:tcW w:w="1276" w:type="dxa"/>
            <w:vAlign w:val="center"/>
          </w:tcPr>
          <w:p w14:paraId="1A2E09CF">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60</w:t>
            </w:r>
          </w:p>
        </w:tc>
        <w:tc>
          <w:tcPr>
            <w:tcW w:w="1363" w:type="dxa"/>
            <w:vMerge w:val="continue"/>
            <w:vAlign w:val="center"/>
          </w:tcPr>
          <w:p w14:paraId="5722A039">
            <w:pPr>
              <w:adjustRightInd w:val="0"/>
              <w:snapToGrid w:val="0"/>
              <w:ind w:firstLine="560"/>
              <w:jc w:val="center"/>
              <w:rPr>
                <w:rFonts w:ascii="Times New Roman" w:hAnsi="Times New Roman" w:eastAsia="仿宋_GB2312" w:cs="Times New Roman"/>
                <w:kern w:val="0"/>
                <w:sz w:val="28"/>
                <w:szCs w:val="28"/>
              </w:rPr>
            </w:pPr>
          </w:p>
        </w:tc>
      </w:tr>
      <w:tr w14:paraId="6F91F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59" w:type="dxa"/>
            <w:vMerge w:val="continue"/>
            <w:vAlign w:val="center"/>
          </w:tcPr>
          <w:p w14:paraId="212D0BA0">
            <w:pPr>
              <w:adjustRightInd w:val="0"/>
              <w:snapToGrid w:val="0"/>
              <w:ind w:firstLine="560"/>
              <w:jc w:val="center"/>
              <w:rPr>
                <w:rFonts w:ascii="Times New Roman" w:hAnsi="Times New Roman" w:eastAsia="仿宋_GB2312" w:cs="Times New Roman"/>
                <w:kern w:val="0"/>
                <w:sz w:val="28"/>
                <w:szCs w:val="28"/>
              </w:rPr>
            </w:pPr>
          </w:p>
        </w:tc>
        <w:tc>
          <w:tcPr>
            <w:tcW w:w="869" w:type="dxa"/>
            <w:vAlign w:val="center"/>
          </w:tcPr>
          <w:p w14:paraId="0B08A42B">
            <w:pPr>
              <w:pStyle w:val="17"/>
              <w:adjustRightInd w:val="0"/>
              <w:snapToGrid w:val="0"/>
              <w:ind w:firstLine="0" w:firstLineChars="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10</w:t>
            </w:r>
          </w:p>
        </w:tc>
        <w:tc>
          <w:tcPr>
            <w:tcW w:w="3680" w:type="dxa"/>
            <w:vAlign w:val="center"/>
          </w:tcPr>
          <w:p w14:paraId="7E24A259">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废气资源回收利用率</w:t>
            </w:r>
          </w:p>
        </w:tc>
        <w:tc>
          <w:tcPr>
            <w:tcW w:w="1140" w:type="dxa"/>
            <w:vAlign w:val="center"/>
          </w:tcPr>
          <w:p w14:paraId="3686E831">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w:t>
            </w:r>
          </w:p>
        </w:tc>
        <w:tc>
          <w:tcPr>
            <w:tcW w:w="1276" w:type="dxa"/>
            <w:vAlign w:val="center"/>
          </w:tcPr>
          <w:p w14:paraId="2C696C20">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90</w:t>
            </w:r>
          </w:p>
        </w:tc>
        <w:tc>
          <w:tcPr>
            <w:tcW w:w="1363" w:type="dxa"/>
            <w:vMerge w:val="continue"/>
            <w:vAlign w:val="center"/>
          </w:tcPr>
          <w:p w14:paraId="523A9223">
            <w:pPr>
              <w:adjustRightInd w:val="0"/>
              <w:snapToGrid w:val="0"/>
              <w:ind w:firstLine="560"/>
              <w:jc w:val="center"/>
              <w:rPr>
                <w:rFonts w:ascii="Times New Roman" w:hAnsi="Times New Roman" w:eastAsia="仿宋_GB2312" w:cs="Times New Roman"/>
                <w:kern w:val="0"/>
                <w:sz w:val="28"/>
                <w:szCs w:val="28"/>
              </w:rPr>
            </w:pPr>
          </w:p>
        </w:tc>
      </w:tr>
      <w:tr w14:paraId="2758E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59" w:type="dxa"/>
            <w:vMerge w:val="continue"/>
            <w:vAlign w:val="center"/>
          </w:tcPr>
          <w:p w14:paraId="5CF42FB1">
            <w:pPr>
              <w:adjustRightInd w:val="0"/>
              <w:snapToGrid w:val="0"/>
              <w:ind w:firstLine="560"/>
              <w:jc w:val="center"/>
              <w:rPr>
                <w:rFonts w:ascii="Times New Roman" w:hAnsi="Times New Roman" w:eastAsia="仿宋_GB2312" w:cs="Times New Roman"/>
                <w:kern w:val="0"/>
                <w:sz w:val="28"/>
                <w:szCs w:val="28"/>
              </w:rPr>
            </w:pPr>
          </w:p>
        </w:tc>
        <w:tc>
          <w:tcPr>
            <w:tcW w:w="869" w:type="dxa"/>
            <w:vAlign w:val="center"/>
          </w:tcPr>
          <w:p w14:paraId="7DA24947">
            <w:pPr>
              <w:pStyle w:val="17"/>
              <w:adjustRightInd w:val="0"/>
              <w:snapToGrid w:val="0"/>
              <w:ind w:firstLine="0" w:firstLineChars="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11</w:t>
            </w:r>
          </w:p>
        </w:tc>
        <w:tc>
          <w:tcPr>
            <w:tcW w:w="3680" w:type="dxa"/>
            <w:vAlign w:val="center"/>
          </w:tcPr>
          <w:p w14:paraId="26097986">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再生资源回收利用率</w:t>
            </w:r>
          </w:p>
        </w:tc>
        <w:tc>
          <w:tcPr>
            <w:tcW w:w="1140" w:type="dxa"/>
            <w:vAlign w:val="center"/>
          </w:tcPr>
          <w:p w14:paraId="4B02FB9F">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w:t>
            </w:r>
          </w:p>
        </w:tc>
        <w:tc>
          <w:tcPr>
            <w:tcW w:w="1276" w:type="dxa"/>
            <w:vAlign w:val="center"/>
          </w:tcPr>
          <w:p w14:paraId="60A5FA1E">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80</w:t>
            </w:r>
          </w:p>
        </w:tc>
        <w:tc>
          <w:tcPr>
            <w:tcW w:w="1363" w:type="dxa"/>
            <w:vMerge w:val="continue"/>
            <w:vAlign w:val="center"/>
          </w:tcPr>
          <w:p w14:paraId="747D7B30">
            <w:pPr>
              <w:adjustRightInd w:val="0"/>
              <w:snapToGrid w:val="0"/>
              <w:ind w:firstLine="560"/>
              <w:jc w:val="center"/>
              <w:rPr>
                <w:rFonts w:ascii="Times New Roman" w:hAnsi="Times New Roman" w:eastAsia="仿宋_GB2312" w:cs="Times New Roman"/>
                <w:kern w:val="0"/>
                <w:sz w:val="28"/>
                <w:szCs w:val="28"/>
              </w:rPr>
            </w:pPr>
          </w:p>
        </w:tc>
      </w:tr>
      <w:tr w14:paraId="20DEE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59" w:type="dxa"/>
            <w:vMerge w:val="restart"/>
            <w:vAlign w:val="center"/>
          </w:tcPr>
          <w:p w14:paraId="434ED248">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基础设施绿色指标</w:t>
            </w:r>
          </w:p>
          <w:p w14:paraId="52A3A5CB">
            <w:pPr>
              <w:adjustRightInd w:val="0"/>
              <w:snapToGrid w:val="0"/>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w:t>
            </w:r>
            <w:r>
              <w:rPr>
                <w:rFonts w:ascii="Times New Roman" w:hAnsi="Times New Roman" w:eastAsia="仿宋_GB2312" w:cs="Times New Roman"/>
                <w:kern w:val="0"/>
                <w:sz w:val="28"/>
                <w:szCs w:val="28"/>
              </w:rPr>
              <w:t>IG</w:t>
            </w:r>
            <w:r>
              <w:rPr>
                <w:rFonts w:hint="eastAsia" w:ascii="Times New Roman" w:hAnsi="Times New Roman" w:eastAsia="仿宋_GB2312" w:cs="Times New Roman"/>
                <w:kern w:val="0"/>
                <w:sz w:val="28"/>
                <w:szCs w:val="28"/>
              </w:rPr>
              <w:t>）</w:t>
            </w:r>
          </w:p>
        </w:tc>
        <w:tc>
          <w:tcPr>
            <w:tcW w:w="869" w:type="dxa"/>
            <w:vAlign w:val="center"/>
          </w:tcPr>
          <w:p w14:paraId="02678181">
            <w:pPr>
              <w:pStyle w:val="17"/>
              <w:adjustRightInd w:val="0"/>
              <w:snapToGrid w:val="0"/>
              <w:ind w:firstLine="0" w:firstLineChars="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12</w:t>
            </w:r>
          </w:p>
        </w:tc>
        <w:tc>
          <w:tcPr>
            <w:tcW w:w="3680" w:type="dxa"/>
            <w:vAlign w:val="center"/>
          </w:tcPr>
          <w:p w14:paraId="3D7C5F41">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污水集中处理设施</w:t>
            </w:r>
          </w:p>
        </w:tc>
        <w:tc>
          <w:tcPr>
            <w:tcW w:w="1140" w:type="dxa"/>
            <w:vAlign w:val="center"/>
          </w:tcPr>
          <w:p w14:paraId="3A81D082">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w:t>
            </w:r>
          </w:p>
        </w:tc>
        <w:tc>
          <w:tcPr>
            <w:tcW w:w="1276" w:type="dxa"/>
            <w:vAlign w:val="center"/>
          </w:tcPr>
          <w:p w14:paraId="3B856587">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具备</w:t>
            </w:r>
          </w:p>
        </w:tc>
        <w:tc>
          <w:tcPr>
            <w:tcW w:w="1363" w:type="dxa"/>
            <w:vAlign w:val="center"/>
          </w:tcPr>
          <w:p w14:paraId="321B5F76">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必选</w:t>
            </w:r>
          </w:p>
        </w:tc>
      </w:tr>
      <w:tr w14:paraId="1852E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59" w:type="dxa"/>
            <w:vMerge w:val="continue"/>
            <w:vAlign w:val="center"/>
          </w:tcPr>
          <w:p w14:paraId="501247DF">
            <w:pPr>
              <w:adjustRightInd w:val="0"/>
              <w:snapToGrid w:val="0"/>
              <w:ind w:firstLine="560"/>
              <w:jc w:val="center"/>
              <w:rPr>
                <w:rFonts w:ascii="Times New Roman" w:hAnsi="Times New Roman" w:eastAsia="仿宋_GB2312" w:cs="Times New Roman"/>
                <w:kern w:val="0"/>
                <w:sz w:val="28"/>
                <w:szCs w:val="28"/>
              </w:rPr>
            </w:pPr>
          </w:p>
        </w:tc>
        <w:tc>
          <w:tcPr>
            <w:tcW w:w="869" w:type="dxa"/>
            <w:vAlign w:val="center"/>
          </w:tcPr>
          <w:p w14:paraId="0B3B9991">
            <w:pPr>
              <w:pStyle w:val="17"/>
              <w:adjustRightInd w:val="0"/>
              <w:snapToGrid w:val="0"/>
              <w:ind w:firstLine="0" w:firstLineChars="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13</w:t>
            </w:r>
          </w:p>
        </w:tc>
        <w:tc>
          <w:tcPr>
            <w:tcW w:w="3680" w:type="dxa"/>
            <w:vAlign w:val="center"/>
          </w:tcPr>
          <w:p w14:paraId="37E47BFF">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新建工业建筑中绿色建筑的比例</w:t>
            </w:r>
          </w:p>
        </w:tc>
        <w:tc>
          <w:tcPr>
            <w:tcW w:w="1140" w:type="dxa"/>
            <w:vAlign w:val="center"/>
          </w:tcPr>
          <w:p w14:paraId="21BD3D2F">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w:t>
            </w:r>
          </w:p>
        </w:tc>
        <w:tc>
          <w:tcPr>
            <w:tcW w:w="1276" w:type="dxa"/>
            <w:vAlign w:val="center"/>
          </w:tcPr>
          <w:p w14:paraId="0A064AE0">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30</w:t>
            </w:r>
          </w:p>
        </w:tc>
        <w:tc>
          <w:tcPr>
            <w:tcW w:w="1363" w:type="dxa"/>
            <w:vMerge w:val="restart"/>
            <w:vAlign w:val="center"/>
          </w:tcPr>
          <w:p w14:paraId="70A392A2">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2项指标选1项</w:t>
            </w:r>
          </w:p>
        </w:tc>
      </w:tr>
      <w:tr w14:paraId="4573D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59" w:type="dxa"/>
            <w:vMerge w:val="continue"/>
            <w:vAlign w:val="center"/>
          </w:tcPr>
          <w:p w14:paraId="34123EA1">
            <w:pPr>
              <w:adjustRightInd w:val="0"/>
              <w:snapToGrid w:val="0"/>
              <w:ind w:firstLine="560"/>
              <w:jc w:val="center"/>
              <w:rPr>
                <w:rFonts w:ascii="Times New Roman" w:hAnsi="Times New Roman" w:eastAsia="仿宋_GB2312" w:cs="Times New Roman"/>
                <w:kern w:val="0"/>
                <w:sz w:val="28"/>
                <w:szCs w:val="28"/>
              </w:rPr>
            </w:pPr>
          </w:p>
        </w:tc>
        <w:tc>
          <w:tcPr>
            <w:tcW w:w="869" w:type="dxa"/>
            <w:vAlign w:val="center"/>
          </w:tcPr>
          <w:p w14:paraId="4D911887">
            <w:pPr>
              <w:pStyle w:val="17"/>
              <w:adjustRightInd w:val="0"/>
              <w:snapToGrid w:val="0"/>
              <w:ind w:firstLine="0" w:firstLineChars="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14</w:t>
            </w:r>
          </w:p>
        </w:tc>
        <w:tc>
          <w:tcPr>
            <w:tcW w:w="3680" w:type="dxa"/>
            <w:vAlign w:val="center"/>
          </w:tcPr>
          <w:p w14:paraId="1E102FE0">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新建公共建筑中绿色建筑的比例</w:t>
            </w:r>
          </w:p>
        </w:tc>
        <w:tc>
          <w:tcPr>
            <w:tcW w:w="1140" w:type="dxa"/>
            <w:vAlign w:val="center"/>
          </w:tcPr>
          <w:p w14:paraId="71BAF0B6">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w:t>
            </w:r>
          </w:p>
        </w:tc>
        <w:tc>
          <w:tcPr>
            <w:tcW w:w="1276" w:type="dxa"/>
            <w:vAlign w:val="center"/>
          </w:tcPr>
          <w:p w14:paraId="6317CBA5">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60</w:t>
            </w:r>
          </w:p>
        </w:tc>
        <w:tc>
          <w:tcPr>
            <w:tcW w:w="1363" w:type="dxa"/>
            <w:vMerge w:val="continue"/>
            <w:vAlign w:val="center"/>
          </w:tcPr>
          <w:p w14:paraId="3E7706E2">
            <w:pPr>
              <w:adjustRightInd w:val="0"/>
              <w:snapToGrid w:val="0"/>
              <w:ind w:firstLine="560"/>
              <w:jc w:val="center"/>
              <w:rPr>
                <w:rFonts w:ascii="Times New Roman" w:hAnsi="Times New Roman" w:eastAsia="仿宋_GB2312" w:cs="Times New Roman"/>
                <w:kern w:val="0"/>
                <w:sz w:val="28"/>
                <w:szCs w:val="28"/>
              </w:rPr>
            </w:pPr>
          </w:p>
        </w:tc>
      </w:tr>
      <w:tr w14:paraId="67533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59" w:type="dxa"/>
            <w:vMerge w:val="continue"/>
            <w:vAlign w:val="center"/>
          </w:tcPr>
          <w:p w14:paraId="00F5FBCE">
            <w:pPr>
              <w:adjustRightInd w:val="0"/>
              <w:snapToGrid w:val="0"/>
              <w:ind w:firstLine="560"/>
              <w:jc w:val="center"/>
              <w:rPr>
                <w:rFonts w:ascii="Times New Roman" w:hAnsi="Times New Roman" w:eastAsia="仿宋_GB2312" w:cs="Times New Roman"/>
                <w:kern w:val="0"/>
                <w:sz w:val="28"/>
                <w:szCs w:val="28"/>
              </w:rPr>
            </w:pPr>
          </w:p>
        </w:tc>
        <w:tc>
          <w:tcPr>
            <w:tcW w:w="869" w:type="dxa"/>
            <w:vAlign w:val="center"/>
          </w:tcPr>
          <w:p w14:paraId="2280A323">
            <w:pPr>
              <w:pStyle w:val="17"/>
              <w:adjustRightInd w:val="0"/>
              <w:snapToGrid w:val="0"/>
              <w:ind w:firstLine="0" w:firstLineChars="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15</w:t>
            </w:r>
          </w:p>
        </w:tc>
        <w:tc>
          <w:tcPr>
            <w:tcW w:w="3680" w:type="dxa"/>
            <w:vAlign w:val="center"/>
          </w:tcPr>
          <w:p w14:paraId="678C65A7">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500米公交站点覆盖率</w:t>
            </w:r>
          </w:p>
        </w:tc>
        <w:tc>
          <w:tcPr>
            <w:tcW w:w="1140" w:type="dxa"/>
            <w:vAlign w:val="center"/>
          </w:tcPr>
          <w:p w14:paraId="495E8A4F">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w:t>
            </w:r>
          </w:p>
        </w:tc>
        <w:tc>
          <w:tcPr>
            <w:tcW w:w="1276" w:type="dxa"/>
            <w:vAlign w:val="center"/>
          </w:tcPr>
          <w:p w14:paraId="0B06C6DD">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90</w:t>
            </w:r>
          </w:p>
        </w:tc>
        <w:tc>
          <w:tcPr>
            <w:tcW w:w="1363" w:type="dxa"/>
            <w:vMerge w:val="restart"/>
            <w:vAlign w:val="center"/>
          </w:tcPr>
          <w:p w14:paraId="143ACFFB">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2项指标选1项</w:t>
            </w:r>
          </w:p>
        </w:tc>
      </w:tr>
      <w:tr w14:paraId="256E2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59" w:type="dxa"/>
            <w:vMerge w:val="continue"/>
            <w:vAlign w:val="center"/>
          </w:tcPr>
          <w:p w14:paraId="5921E037">
            <w:pPr>
              <w:adjustRightInd w:val="0"/>
              <w:snapToGrid w:val="0"/>
              <w:ind w:firstLine="560"/>
              <w:jc w:val="center"/>
              <w:rPr>
                <w:rFonts w:ascii="Times New Roman" w:hAnsi="Times New Roman" w:eastAsia="仿宋_GB2312" w:cs="Times New Roman"/>
                <w:kern w:val="0"/>
                <w:sz w:val="28"/>
                <w:szCs w:val="28"/>
              </w:rPr>
            </w:pPr>
          </w:p>
        </w:tc>
        <w:tc>
          <w:tcPr>
            <w:tcW w:w="869" w:type="dxa"/>
            <w:vAlign w:val="center"/>
          </w:tcPr>
          <w:p w14:paraId="6391ABFC">
            <w:pPr>
              <w:pStyle w:val="17"/>
              <w:adjustRightInd w:val="0"/>
              <w:snapToGrid w:val="0"/>
              <w:ind w:firstLine="0" w:firstLineChars="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16</w:t>
            </w:r>
          </w:p>
        </w:tc>
        <w:tc>
          <w:tcPr>
            <w:tcW w:w="3680" w:type="dxa"/>
            <w:vAlign w:val="center"/>
          </w:tcPr>
          <w:p w14:paraId="0936C02D">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节能与新能源公交车比例</w:t>
            </w:r>
          </w:p>
        </w:tc>
        <w:tc>
          <w:tcPr>
            <w:tcW w:w="1140" w:type="dxa"/>
            <w:vAlign w:val="center"/>
          </w:tcPr>
          <w:p w14:paraId="0D48DCC1">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w:t>
            </w:r>
          </w:p>
        </w:tc>
        <w:tc>
          <w:tcPr>
            <w:tcW w:w="1276" w:type="dxa"/>
            <w:vAlign w:val="center"/>
          </w:tcPr>
          <w:p w14:paraId="0E8C41D1">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30</w:t>
            </w:r>
          </w:p>
        </w:tc>
        <w:tc>
          <w:tcPr>
            <w:tcW w:w="1363" w:type="dxa"/>
            <w:vMerge w:val="continue"/>
            <w:vAlign w:val="center"/>
          </w:tcPr>
          <w:p w14:paraId="27102A6A">
            <w:pPr>
              <w:adjustRightInd w:val="0"/>
              <w:snapToGrid w:val="0"/>
              <w:ind w:firstLine="560"/>
              <w:jc w:val="center"/>
              <w:rPr>
                <w:rFonts w:ascii="Times New Roman" w:hAnsi="Times New Roman" w:eastAsia="仿宋_GB2312" w:cs="Times New Roman"/>
                <w:kern w:val="0"/>
                <w:sz w:val="28"/>
                <w:szCs w:val="28"/>
              </w:rPr>
            </w:pPr>
          </w:p>
        </w:tc>
      </w:tr>
      <w:tr w14:paraId="3802E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59" w:type="dxa"/>
            <w:vMerge w:val="restart"/>
            <w:vAlign w:val="center"/>
          </w:tcPr>
          <w:p w14:paraId="58CD580D">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产业绿色指标</w:t>
            </w:r>
          </w:p>
          <w:p w14:paraId="43F3E16C">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（CG）</w:t>
            </w:r>
          </w:p>
        </w:tc>
        <w:tc>
          <w:tcPr>
            <w:tcW w:w="869" w:type="dxa"/>
            <w:vAlign w:val="center"/>
          </w:tcPr>
          <w:p w14:paraId="2AC928EC">
            <w:pPr>
              <w:pStyle w:val="17"/>
              <w:adjustRightInd w:val="0"/>
              <w:snapToGrid w:val="0"/>
              <w:ind w:firstLine="0" w:firstLineChars="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17</w:t>
            </w:r>
          </w:p>
        </w:tc>
        <w:tc>
          <w:tcPr>
            <w:tcW w:w="3680" w:type="dxa"/>
            <w:vAlign w:val="center"/>
          </w:tcPr>
          <w:p w14:paraId="5B22077B">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高新技术产业产值占园区工业总产值比例</w:t>
            </w:r>
          </w:p>
        </w:tc>
        <w:tc>
          <w:tcPr>
            <w:tcW w:w="1140" w:type="dxa"/>
            <w:vAlign w:val="center"/>
          </w:tcPr>
          <w:p w14:paraId="7E7D8D5A">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w:t>
            </w:r>
          </w:p>
        </w:tc>
        <w:tc>
          <w:tcPr>
            <w:tcW w:w="1276" w:type="dxa"/>
            <w:vAlign w:val="center"/>
          </w:tcPr>
          <w:p w14:paraId="33FF1803">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30</w:t>
            </w:r>
          </w:p>
        </w:tc>
        <w:tc>
          <w:tcPr>
            <w:tcW w:w="1363" w:type="dxa"/>
            <w:vAlign w:val="center"/>
          </w:tcPr>
          <w:p w14:paraId="2A08AB17">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必选</w:t>
            </w:r>
          </w:p>
        </w:tc>
      </w:tr>
      <w:tr w14:paraId="0E13F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59" w:type="dxa"/>
            <w:vMerge w:val="continue"/>
            <w:vAlign w:val="center"/>
          </w:tcPr>
          <w:p w14:paraId="0839F75A">
            <w:pPr>
              <w:adjustRightInd w:val="0"/>
              <w:snapToGrid w:val="0"/>
              <w:ind w:firstLine="560"/>
              <w:jc w:val="center"/>
              <w:rPr>
                <w:rFonts w:ascii="Times New Roman" w:hAnsi="Times New Roman" w:eastAsia="仿宋_GB2312" w:cs="Times New Roman"/>
                <w:kern w:val="0"/>
                <w:sz w:val="28"/>
                <w:szCs w:val="28"/>
              </w:rPr>
            </w:pPr>
          </w:p>
        </w:tc>
        <w:tc>
          <w:tcPr>
            <w:tcW w:w="869" w:type="dxa"/>
            <w:vAlign w:val="center"/>
          </w:tcPr>
          <w:p w14:paraId="52018C21">
            <w:pPr>
              <w:pStyle w:val="17"/>
              <w:adjustRightInd w:val="0"/>
              <w:snapToGrid w:val="0"/>
              <w:ind w:firstLine="0" w:firstLineChars="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18</w:t>
            </w:r>
          </w:p>
        </w:tc>
        <w:tc>
          <w:tcPr>
            <w:tcW w:w="3680" w:type="dxa"/>
            <w:vAlign w:val="center"/>
          </w:tcPr>
          <w:p w14:paraId="4124AAAE">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绿色产业增加值占园区工业增加值比例</w:t>
            </w:r>
          </w:p>
        </w:tc>
        <w:tc>
          <w:tcPr>
            <w:tcW w:w="1140" w:type="dxa"/>
            <w:vAlign w:val="center"/>
          </w:tcPr>
          <w:p w14:paraId="7D130200">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w:t>
            </w:r>
          </w:p>
        </w:tc>
        <w:tc>
          <w:tcPr>
            <w:tcW w:w="1276" w:type="dxa"/>
            <w:vAlign w:val="center"/>
          </w:tcPr>
          <w:p w14:paraId="0C72B600">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30</w:t>
            </w:r>
          </w:p>
        </w:tc>
        <w:tc>
          <w:tcPr>
            <w:tcW w:w="1363" w:type="dxa"/>
            <w:vAlign w:val="center"/>
          </w:tcPr>
          <w:p w14:paraId="7891DB34">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必选</w:t>
            </w:r>
          </w:p>
        </w:tc>
      </w:tr>
      <w:tr w14:paraId="56D1A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59" w:type="dxa"/>
            <w:vMerge w:val="continue"/>
            <w:vAlign w:val="center"/>
          </w:tcPr>
          <w:p w14:paraId="1D3F0410">
            <w:pPr>
              <w:adjustRightInd w:val="0"/>
              <w:snapToGrid w:val="0"/>
              <w:ind w:firstLine="560"/>
              <w:jc w:val="center"/>
              <w:rPr>
                <w:rFonts w:ascii="Times New Roman" w:hAnsi="Times New Roman" w:eastAsia="仿宋_GB2312" w:cs="Times New Roman"/>
                <w:kern w:val="0"/>
                <w:sz w:val="28"/>
                <w:szCs w:val="28"/>
              </w:rPr>
            </w:pPr>
          </w:p>
        </w:tc>
        <w:tc>
          <w:tcPr>
            <w:tcW w:w="869" w:type="dxa"/>
            <w:vAlign w:val="center"/>
          </w:tcPr>
          <w:p w14:paraId="7D6B4EB7">
            <w:pPr>
              <w:pStyle w:val="17"/>
              <w:adjustRightInd w:val="0"/>
              <w:snapToGrid w:val="0"/>
              <w:ind w:firstLine="0" w:firstLineChars="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19</w:t>
            </w:r>
          </w:p>
        </w:tc>
        <w:tc>
          <w:tcPr>
            <w:tcW w:w="3680" w:type="dxa"/>
            <w:vAlign w:val="center"/>
          </w:tcPr>
          <w:p w14:paraId="7C2385D6">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人均工业增加值</w:t>
            </w:r>
          </w:p>
        </w:tc>
        <w:tc>
          <w:tcPr>
            <w:tcW w:w="1140" w:type="dxa"/>
            <w:vAlign w:val="center"/>
          </w:tcPr>
          <w:p w14:paraId="3A8401CD">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万元/人</w:t>
            </w:r>
          </w:p>
        </w:tc>
        <w:tc>
          <w:tcPr>
            <w:tcW w:w="1276" w:type="dxa"/>
            <w:vAlign w:val="center"/>
          </w:tcPr>
          <w:p w14:paraId="301498BF">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15</w:t>
            </w:r>
          </w:p>
        </w:tc>
        <w:tc>
          <w:tcPr>
            <w:tcW w:w="1363" w:type="dxa"/>
            <w:vMerge w:val="restart"/>
            <w:vAlign w:val="center"/>
          </w:tcPr>
          <w:p w14:paraId="405C26C8">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2项指标选1项</w:t>
            </w:r>
          </w:p>
        </w:tc>
      </w:tr>
      <w:tr w14:paraId="54F02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59" w:type="dxa"/>
            <w:vMerge w:val="continue"/>
            <w:vAlign w:val="center"/>
          </w:tcPr>
          <w:p w14:paraId="62A58CC2">
            <w:pPr>
              <w:adjustRightInd w:val="0"/>
              <w:snapToGrid w:val="0"/>
              <w:ind w:firstLine="560"/>
              <w:jc w:val="center"/>
              <w:rPr>
                <w:rFonts w:ascii="Times New Roman" w:hAnsi="Times New Roman" w:eastAsia="仿宋_GB2312" w:cs="Times New Roman"/>
                <w:kern w:val="0"/>
                <w:sz w:val="28"/>
                <w:szCs w:val="28"/>
              </w:rPr>
            </w:pPr>
          </w:p>
        </w:tc>
        <w:tc>
          <w:tcPr>
            <w:tcW w:w="869" w:type="dxa"/>
            <w:vAlign w:val="center"/>
          </w:tcPr>
          <w:p w14:paraId="5AEAFB00">
            <w:pPr>
              <w:pStyle w:val="17"/>
              <w:adjustRightInd w:val="0"/>
              <w:snapToGrid w:val="0"/>
              <w:ind w:firstLine="0" w:firstLineChars="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20</w:t>
            </w:r>
          </w:p>
        </w:tc>
        <w:tc>
          <w:tcPr>
            <w:tcW w:w="3680" w:type="dxa"/>
            <w:vAlign w:val="center"/>
          </w:tcPr>
          <w:p w14:paraId="5B6C74F2">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现代服务业比例</w:t>
            </w:r>
          </w:p>
        </w:tc>
        <w:tc>
          <w:tcPr>
            <w:tcW w:w="1140" w:type="dxa"/>
            <w:vAlign w:val="center"/>
          </w:tcPr>
          <w:p w14:paraId="5DB177D4">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w:t>
            </w:r>
          </w:p>
        </w:tc>
        <w:tc>
          <w:tcPr>
            <w:tcW w:w="1276" w:type="dxa"/>
            <w:vAlign w:val="center"/>
          </w:tcPr>
          <w:p w14:paraId="498910FA">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30</w:t>
            </w:r>
          </w:p>
        </w:tc>
        <w:tc>
          <w:tcPr>
            <w:tcW w:w="1363" w:type="dxa"/>
            <w:vMerge w:val="continue"/>
            <w:vAlign w:val="center"/>
          </w:tcPr>
          <w:p w14:paraId="23B6D785">
            <w:pPr>
              <w:adjustRightInd w:val="0"/>
              <w:snapToGrid w:val="0"/>
              <w:ind w:firstLine="560"/>
              <w:jc w:val="center"/>
              <w:rPr>
                <w:rFonts w:ascii="Times New Roman" w:hAnsi="Times New Roman" w:eastAsia="仿宋_GB2312" w:cs="Times New Roman"/>
                <w:kern w:val="0"/>
                <w:sz w:val="28"/>
                <w:szCs w:val="28"/>
              </w:rPr>
            </w:pPr>
          </w:p>
        </w:tc>
      </w:tr>
      <w:tr w14:paraId="44B88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59" w:type="dxa"/>
            <w:vMerge w:val="restart"/>
            <w:vAlign w:val="center"/>
          </w:tcPr>
          <w:p w14:paraId="73FD0EB0">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生态环境绿色指标</w:t>
            </w:r>
          </w:p>
          <w:p w14:paraId="5135CFD0">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（HG）</w:t>
            </w:r>
          </w:p>
        </w:tc>
        <w:tc>
          <w:tcPr>
            <w:tcW w:w="869" w:type="dxa"/>
            <w:vAlign w:val="center"/>
          </w:tcPr>
          <w:p w14:paraId="7ECCCB4F">
            <w:pPr>
              <w:pStyle w:val="17"/>
              <w:adjustRightInd w:val="0"/>
              <w:snapToGrid w:val="0"/>
              <w:ind w:firstLine="0" w:firstLineChars="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21</w:t>
            </w:r>
          </w:p>
        </w:tc>
        <w:tc>
          <w:tcPr>
            <w:tcW w:w="3680" w:type="dxa"/>
            <w:vAlign w:val="center"/>
          </w:tcPr>
          <w:p w14:paraId="79D13423">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工业固体废弃物（含危废）处置利用率</w:t>
            </w:r>
          </w:p>
        </w:tc>
        <w:tc>
          <w:tcPr>
            <w:tcW w:w="1140" w:type="dxa"/>
            <w:vAlign w:val="center"/>
          </w:tcPr>
          <w:p w14:paraId="027FC28D">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w:t>
            </w:r>
          </w:p>
        </w:tc>
        <w:tc>
          <w:tcPr>
            <w:tcW w:w="1276" w:type="dxa"/>
            <w:vAlign w:val="center"/>
          </w:tcPr>
          <w:p w14:paraId="01334C49">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100</w:t>
            </w:r>
          </w:p>
        </w:tc>
        <w:tc>
          <w:tcPr>
            <w:tcW w:w="1363" w:type="dxa"/>
            <w:vAlign w:val="center"/>
          </w:tcPr>
          <w:p w14:paraId="3EB80069">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必选</w:t>
            </w:r>
          </w:p>
        </w:tc>
      </w:tr>
      <w:tr w14:paraId="199DE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59" w:type="dxa"/>
            <w:vMerge w:val="continue"/>
            <w:vAlign w:val="center"/>
          </w:tcPr>
          <w:p w14:paraId="6FFB4CA8">
            <w:pPr>
              <w:adjustRightInd w:val="0"/>
              <w:snapToGrid w:val="0"/>
              <w:ind w:firstLine="560"/>
              <w:jc w:val="center"/>
              <w:rPr>
                <w:rFonts w:ascii="Times New Roman" w:hAnsi="Times New Roman" w:eastAsia="仿宋_GB2312" w:cs="Times New Roman"/>
                <w:kern w:val="0"/>
                <w:sz w:val="28"/>
                <w:szCs w:val="28"/>
              </w:rPr>
            </w:pPr>
          </w:p>
        </w:tc>
        <w:tc>
          <w:tcPr>
            <w:tcW w:w="869" w:type="dxa"/>
            <w:vAlign w:val="center"/>
          </w:tcPr>
          <w:p w14:paraId="11CA1621">
            <w:pPr>
              <w:pStyle w:val="17"/>
              <w:adjustRightInd w:val="0"/>
              <w:snapToGrid w:val="0"/>
              <w:ind w:firstLine="0" w:firstLineChars="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22</w:t>
            </w:r>
          </w:p>
        </w:tc>
        <w:tc>
          <w:tcPr>
            <w:tcW w:w="3680" w:type="dxa"/>
            <w:vAlign w:val="center"/>
          </w:tcPr>
          <w:p w14:paraId="2E692682">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万元工业增加值碳排放量消减率</w:t>
            </w:r>
          </w:p>
        </w:tc>
        <w:tc>
          <w:tcPr>
            <w:tcW w:w="1140" w:type="dxa"/>
            <w:vAlign w:val="center"/>
          </w:tcPr>
          <w:p w14:paraId="05440159">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w:t>
            </w:r>
          </w:p>
        </w:tc>
        <w:tc>
          <w:tcPr>
            <w:tcW w:w="1276" w:type="dxa"/>
            <w:vAlign w:val="center"/>
          </w:tcPr>
          <w:p w14:paraId="1F32AA26">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3</w:t>
            </w:r>
          </w:p>
        </w:tc>
        <w:tc>
          <w:tcPr>
            <w:tcW w:w="1363" w:type="dxa"/>
            <w:vAlign w:val="center"/>
          </w:tcPr>
          <w:p w14:paraId="07B7BA99">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必选</w:t>
            </w:r>
          </w:p>
        </w:tc>
      </w:tr>
      <w:tr w14:paraId="68776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59" w:type="dxa"/>
            <w:vMerge w:val="continue"/>
            <w:vAlign w:val="center"/>
          </w:tcPr>
          <w:p w14:paraId="6D335121">
            <w:pPr>
              <w:adjustRightInd w:val="0"/>
              <w:snapToGrid w:val="0"/>
              <w:ind w:firstLine="560"/>
              <w:jc w:val="center"/>
              <w:rPr>
                <w:rFonts w:ascii="Times New Roman" w:hAnsi="Times New Roman" w:eastAsia="仿宋_GB2312" w:cs="Times New Roman"/>
                <w:kern w:val="0"/>
                <w:sz w:val="28"/>
                <w:szCs w:val="28"/>
              </w:rPr>
            </w:pPr>
          </w:p>
        </w:tc>
        <w:tc>
          <w:tcPr>
            <w:tcW w:w="869" w:type="dxa"/>
            <w:vAlign w:val="center"/>
          </w:tcPr>
          <w:p w14:paraId="71F5DB5E">
            <w:pPr>
              <w:pStyle w:val="17"/>
              <w:adjustRightInd w:val="0"/>
              <w:snapToGrid w:val="0"/>
              <w:ind w:firstLine="0" w:firstLineChars="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23</w:t>
            </w:r>
          </w:p>
        </w:tc>
        <w:tc>
          <w:tcPr>
            <w:tcW w:w="3680" w:type="dxa"/>
            <w:vAlign w:val="center"/>
          </w:tcPr>
          <w:p w14:paraId="2B21A389">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单位工业增加值废水排放量</w:t>
            </w:r>
          </w:p>
        </w:tc>
        <w:tc>
          <w:tcPr>
            <w:tcW w:w="1140" w:type="dxa"/>
            <w:vAlign w:val="center"/>
          </w:tcPr>
          <w:p w14:paraId="2759A453">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t/万元</w:t>
            </w:r>
          </w:p>
        </w:tc>
        <w:tc>
          <w:tcPr>
            <w:tcW w:w="1276" w:type="dxa"/>
            <w:vAlign w:val="center"/>
          </w:tcPr>
          <w:p w14:paraId="67686A82">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5</w:t>
            </w:r>
          </w:p>
        </w:tc>
        <w:tc>
          <w:tcPr>
            <w:tcW w:w="1363" w:type="dxa"/>
            <w:vAlign w:val="center"/>
          </w:tcPr>
          <w:p w14:paraId="44A0B727">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必选</w:t>
            </w:r>
          </w:p>
        </w:tc>
      </w:tr>
      <w:tr w14:paraId="173ED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59" w:type="dxa"/>
            <w:vMerge w:val="continue"/>
            <w:vAlign w:val="center"/>
          </w:tcPr>
          <w:p w14:paraId="5C90D28A">
            <w:pPr>
              <w:adjustRightInd w:val="0"/>
              <w:snapToGrid w:val="0"/>
              <w:ind w:firstLine="560"/>
              <w:jc w:val="center"/>
              <w:rPr>
                <w:rFonts w:ascii="Times New Roman" w:hAnsi="Times New Roman" w:eastAsia="仿宋_GB2312" w:cs="Times New Roman"/>
                <w:kern w:val="0"/>
                <w:sz w:val="28"/>
                <w:szCs w:val="28"/>
              </w:rPr>
            </w:pPr>
          </w:p>
        </w:tc>
        <w:tc>
          <w:tcPr>
            <w:tcW w:w="869" w:type="dxa"/>
            <w:vAlign w:val="center"/>
          </w:tcPr>
          <w:p w14:paraId="152D6009">
            <w:pPr>
              <w:pStyle w:val="17"/>
              <w:adjustRightInd w:val="0"/>
              <w:snapToGrid w:val="0"/>
              <w:ind w:firstLine="0" w:firstLineChars="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24</w:t>
            </w:r>
          </w:p>
        </w:tc>
        <w:tc>
          <w:tcPr>
            <w:tcW w:w="3680" w:type="dxa"/>
            <w:vAlign w:val="center"/>
          </w:tcPr>
          <w:p w14:paraId="59B593D8">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主要污染物弹性系数</w:t>
            </w:r>
          </w:p>
        </w:tc>
        <w:tc>
          <w:tcPr>
            <w:tcW w:w="1140" w:type="dxa"/>
            <w:vAlign w:val="center"/>
          </w:tcPr>
          <w:p w14:paraId="7E76CB1F">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w:t>
            </w:r>
          </w:p>
        </w:tc>
        <w:tc>
          <w:tcPr>
            <w:tcW w:w="1276" w:type="dxa"/>
            <w:vAlign w:val="center"/>
          </w:tcPr>
          <w:p w14:paraId="4DB73E05">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0.3</w:t>
            </w:r>
          </w:p>
        </w:tc>
        <w:tc>
          <w:tcPr>
            <w:tcW w:w="1363" w:type="dxa"/>
            <w:vAlign w:val="center"/>
          </w:tcPr>
          <w:p w14:paraId="7E11D061">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必选</w:t>
            </w:r>
          </w:p>
        </w:tc>
      </w:tr>
      <w:tr w14:paraId="151B2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59" w:type="dxa"/>
            <w:vMerge w:val="continue"/>
            <w:vAlign w:val="center"/>
          </w:tcPr>
          <w:p w14:paraId="1B1A8810">
            <w:pPr>
              <w:adjustRightInd w:val="0"/>
              <w:snapToGrid w:val="0"/>
              <w:ind w:firstLine="560"/>
              <w:jc w:val="center"/>
              <w:rPr>
                <w:rFonts w:ascii="Times New Roman" w:hAnsi="Times New Roman" w:eastAsia="仿宋_GB2312" w:cs="Times New Roman"/>
                <w:kern w:val="0"/>
                <w:sz w:val="28"/>
                <w:szCs w:val="28"/>
              </w:rPr>
            </w:pPr>
          </w:p>
        </w:tc>
        <w:tc>
          <w:tcPr>
            <w:tcW w:w="869" w:type="dxa"/>
            <w:vAlign w:val="center"/>
          </w:tcPr>
          <w:p w14:paraId="0DA1E58F">
            <w:pPr>
              <w:pStyle w:val="17"/>
              <w:adjustRightInd w:val="0"/>
              <w:snapToGrid w:val="0"/>
              <w:ind w:firstLine="0" w:firstLineChars="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25</w:t>
            </w:r>
          </w:p>
        </w:tc>
        <w:tc>
          <w:tcPr>
            <w:tcW w:w="3680" w:type="dxa"/>
            <w:vAlign w:val="center"/>
          </w:tcPr>
          <w:p w14:paraId="1BBEBEA2">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园区空气质量优良率</w:t>
            </w:r>
          </w:p>
        </w:tc>
        <w:tc>
          <w:tcPr>
            <w:tcW w:w="1140" w:type="dxa"/>
            <w:vAlign w:val="center"/>
          </w:tcPr>
          <w:p w14:paraId="4C4F08D7">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w:t>
            </w:r>
          </w:p>
        </w:tc>
        <w:tc>
          <w:tcPr>
            <w:tcW w:w="1276" w:type="dxa"/>
            <w:vAlign w:val="center"/>
          </w:tcPr>
          <w:p w14:paraId="3F35B5A4">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80</w:t>
            </w:r>
          </w:p>
        </w:tc>
        <w:tc>
          <w:tcPr>
            <w:tcW w:w="1363" w:type="dxa"/>
            <w:vAlign w:val="center"/>
          </w:tcPr>
          <w:p w14:paraId="4BC4E580">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必选</w:t>
            </w:r>
          </w:p>
        </w:tc>
      </w:tr>
      <w:tr w14:paraId="739FE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59" w:type="dxa"/>
            <w:vMerge w:val="continue"/>
            <w:vAlign w:val="center"/>
          </w:tcPr>
          <w:p w14:paraId="1410F68B">
            <w:pPr>
              <w:adjustRightInd w:val="0"/>
              <w:snapToGrid w:val="0"/>
              <w:ind w:firstLine="560"/>
              <w:jc w:val="center"/>
              <w:rPr>
                <w:rFonts w:ascii="Times New Roman" w:hAnsi="Times New Roman" w:eastAsia="仿宋_GB2312" w:cs="Times New Roman"/>
                <w:kern w:val="0"/>
                <w:sz w:val="28"/>
                <w:szCs w:val="28"/>
              </w:rPr>
            </w:pPr>
          </w:p>
        </w:tc>
        <w:tc>
          <w:tcPr>
            <w:tcW w:w="869" w:type="dxa"/>
            <w:vAlign w:val="center"/>
          </w:tcPr>
          <w:p w14:paraId="39921B25">
            <w:pPr>
              <w:pStyle w:val="17"/>
              <w:adjustRightInd w:val="0"/>
              <w:snapToGrid w:val="0"/>
              <w:ind w:firstLine="0" w:firstLineChars="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26</w:t>
            </w:r>
          </w:p>
        </w:tc>
        <w:tc>
          <w:tcPr>
            <w:tcW w:w="3680" w:type="dxa"/>
            <w:vAlign w:val="center"/>
          </w:tcPr>
          <w:p w14:paraId="0F5E0998">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绿化覆盖率</w:t>
            </w:r>
          </w:p>
        </w:tc>
        <w:tc>
          <w:tcPr>
            <w:tcW w:w="1140" w:type="dxa"/>
            <w:vAlign w:val="center"/>
          </w:tcPr>
          <w:p w14:paraId="47F07700">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w:t>
            </w:r>
          </w:p>
        </w:tc>
        <w:tc>
          <w:tcPr>
            <w:tcW w:w="1276" w:type="dxa"/>
            <w:vAlign w:val="center"/>
          </w:tcPr>
          <w:p w14:paraId="02721536">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30</w:t>
            </w:r>
          </w:p>
        </w:tc>
        <w:tc>
          <w:tcPr>
            <w:tcW w:w="1363" w:type="dxa"/>
            <w:vMerge w:val="restart"/>
            <w:vAlign w:val="center"/>
          </w:tcPr>
          <w:p w14:paraId="71BF9E32">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3项指标选1项</w:t>
            </w:r>
          </w:p>
        </w:tc>
      </w:tr>
      <w:tr w14:paraId="4BBCC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59" w:type="dxa"/>
            <w:vMerge w:val="continue"/>
            <w:vAlign w:val="center"/>
          </w:tcPr>
          <w:p w14:paraId="1EB438CB">
            <w:pPr>
              <w:adjustRightInd w:val="0"/>
              <w:snapToGrid w:val="0"/>
              <w:ind w:firstLine="560"/>
              <w:jc w:val="center"/>
              <w:rPr>
                <w:rFonts w:ascii="Times New Roman" w:hAnsi="Times New Roman" w:eastAsia="仿宋_GB2312" w:cs="Times New Roman"/>
                <w:kern w:val="0"/>
                <w:sz w:val="28"/>
                <w:szCs w:val="28"/>
              </w:rPr>
            </w:pPr>
          </w:p>
        </w:tc>
        <w:tc>
          <w:tcPr>
            <w:tcW w:w="869" w:type="dxa"/>
            <w:vAlign w:val="center"/>
          </w:tcPr>
          <w:p w14:paraId="3D73BAD5">
            <w:pPr>
              <w:pStyle w:val="17"/>
              <w:adjustRightInd w:val="0"/>
              <w:snapToGrid w:val="0"/>
              <w:ind w:firstLine="0" w:firstLineChars="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27</w:t>
            </w:r>
          </w:p>
        </w:tc>
        <w:tc>
          <w:tcPr>
            <w:tcW w:w="3680" w:type="dxa"/>
            <w:vAlign w:val="center"/>
          </w:tcPr>
          <w:p w14:paraId="7E6C0FF9">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道路遮荫比例</w:t>
            </w:r>
          </w:p>
        </w:tc>
        <w:tc>
          <w:tcPr>
            <w:tcW w:w="1140" w:type="dxa"/>
            <w:vAlign w:val="center"/>
          </w:tcPr>
          <w:p w14:paraId="7A6F6808">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w:t>
            </w:r>
          </w:p>
        </w:tc>
        <w:tc>
          <w:tcPr>
            <w:tcW w:w="1276" w:type="dxa"/>
            <w:vAlign w:val="center"/>
          </w:tcPr>
          <w:p w14:paraId="47AF256F">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80</w:t>
            </w:r>
          </w:p>
        </w:tc>
        <w:tc>
          <w:tcPr>
            <w:tcW w:w="1363" w:type="dxa"/>
            <w:vMerge w:val="continue"/>
            <w:vAlign w:val="center"/>
          </w:tcPr>
          <w:p w14:paraId="76985B59">
            <w:pPr>
              <w:adjustRightInd w:val="0"/>
              <w:snapToGrid w:val="0"/>
              <w:jc w:val="center"/>
              <w:rPr>
                <w:rFonts w:ascii="Times New Roman" w:hAnsi="Times New Roman" w:eastAsia="仿宋_GB2312" w:cs="Times New Roman"/>
                <w:kern w:val="0"/>
                <w:sz w:val="28"/>
                <w:szCs w:val="28"/>
              </w:rPr>
            </w:pPr>
          </w:p>
        </w:tc>
      </w:tr>
      <w:tr w14:paraId="0DCC2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59" w:type="dxa"/>
            <w:vMerge w:val="continue"/>
            <w:vAlign w:val="center"/>
          </w:tcPr>
          <w:p w14:paraId="2E76F440">
            <w:pPr>
              <w:adjustRightInd w:val="0"/>
              <w:snapToGrid w:val="0"/>
              <w:ind w:firstLine="560"/>
              <w:jc w:val="center"/>
              <w:rPr>
                <w:rFonts w:ascii="Times New Roman" w:hAnsi="Times New Roman" w:eastAsia="仿宋_GB2312" w:cs="Times New Roman"/>
                <w:kern w:val="0"/>
                <w:sz w:val="28"/>
                <w:szCs w:val="28"/>
              </w:rPr>
            </w:pPr>
          </w:p>
        </w:tc>
        <w:tc>
          <w:tcPr>
            <w:tcW w:w="869" w:type="dxa"/>
            <w:vAlign w:val="center"/>
          </w:tcPr>
          <w:p w14:paraId="7E0665B9">
            <w:pPr>
              <w:pStyle w:val="17"/>
              <w:adjustRightInd w:val="0"/>
              <w:snapToGrid w:val="0"/>
              <w:ind w:firstLine="0" w:firstLineChars="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28</w:t>
            </w:r>
          </w:p>
        </w:tc>
        <w:tc>
          <w:tcPr>
            <w:tcW w:w="3680" w:type="dxa"/>
            <w:vAlign w:val="center"/>
          </w:tcPr>
          <w:p w14:paraId="77D6202C">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露天停车场遮荫比例</w:t>
            </w:r>
          </w:p>
        </w:tc>
        <w:tc>
          <w:tcPr>
            <w:tcW w:w="1140" w:type="dxa"/>
            <w:vAlign w:val="center"/>
          </w:tcPr>
          <w:p w14:paraId="67530513">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w:t>
            </w:r>
          </w:p>
        </w:tc>
        <w:tc>
          <w:tcPr>
            <w:tcW w:w="1276" w:type="dxa"/>
            <w:vAlign w:val="center"/>
          </w:tcPr>
          <w:p w14:paraId="4BA7F449">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80</w:t>
            </w:r>
          </w:p>
        </w:tc>
        <w:tc>
          <w:tcPr>
            <w:tcW w:w="1363" w:type="dxa"/>
            <w:vMerge w:val="continue"/>
            <w:vAlign w:val="center"/>
          </w:tcPr>
          <w:p w14:paraId="1C3A9B24">
            <w:pPr>
              <w:adjustRightInd w:val="0"/>
              <w:snapToGrid w:val="0"/>
              <w:ind w:firstLine="560"/>
              <w:jc w:val="center"/>
              <w:rPr>
                <w:rFonts w:ascii="Times New Roman" w:hAnsi="Times New Roman" w:eastAsia="仿宋_GB2312" w:cs="Times New Roman"/>
                <w:kern w:val="0"/>
                <w:sz w:val="28"/>
                <w:szCs w:val="28"/>
              </w:rPr>
            </w:pPr>
          </w:p>
        </w:tc>
      </w:tr>
      <w:tr w14:paraId="1B880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59" w:type="dxa"/>
            <w:vMerge w:val="restart"/>
            <w:vAlign w:val="center"/>
          </w:tcPr>
          <w:p w14:paraId="54375741">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运行管理绿色指标</w:t>
            </w:r>
          </w:p>
          <w:p w14:paraId="32EDE350">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（MG）</w:t>
            </w:r>
          </w:p>
        </w:tc>
        <w:tc>
          <w:tcPr>
            <w:tcW w:w="869" w:type="dxa"/>
            <w:vAlign w:val="center"/>
          </w:tcPr>
          <w:p w14:paraId="02D17AE7">
            <w:pPr>
              <w:pStyle w:val="17"/>
              <w:adjustRightInd w:val="0"/>
              <w:snapToGrid w:val="0"/>
              <w:ind w:firstLine="0" w:firstLineChars="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29</w:t>
            </w:r>
          </w:p>
        </w:tc>
        <w:tc>
          <w:tcPr>
            <w:tcW w:w="3680" w:type="dxa"/>
            <w:vAlign w:val="center"/>
          </w:tcPr>
          <w:p w14:paraId="172D4490">
            <w:pPr>
              <w:adjustRightInd w:val="0"/>
              <w:snapToGrid w:val="0"/>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绿色工业园区</w:t>
            </w:r>
            <w:r>
              <w:rPr>
                <w:rFonts w:ascii="Times New Roman" w:hAnsi="Times New Roman" w:eastAsia="仿宋_GB2312" w:cs="Times New Roman"/>
                <w:kern w:val="0"/>
                <w:sz w:val="28"/>
                <w:szCs w:val="28"/>
              </w:rPr>
              <w:t>标准体系完善程度</w:t>
            </w:r>
          </w:p>
        </w:tc>
        <w:tc>
          <w:tcPr>
            <w:tcW w:w="1140" w:type="dxa"/>
            <w:vAlign w:val="center"/>
          </w:tcPr>
          <w:p w14:paraId="7EC8148E">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w:t>
            </w:r>
          </w:p>
        </w:tc>
        <w:tc>
          <w:tcPr>
            <w:tcW w:w="1276" w:type="dxa"/>
            <w:vAlign w:val="center"/>
          </w:tcPr>
          <w:p w14:paraId="75F6E259">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完善</w:t>
            </w:r>
          </w:p>
        </w:tc>
        <w:tc>
          <w:tcPr>
            <w:tcW w:w="1363" w:type="dxa"/>
            <w:vAlign w:val="center"/>
          </w:tcPr>
          <w:p w14:paraId="1159A12E">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必选</w:t>
            </w:r>
          </w:p>
        </w:tc>
      </w:tr>
      <w:tr w14:paraId="219DF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59" w:type="dxa"/>
            <w:vMerge w:val="continue"/>
            <w:vAlign w:val="center"/>
          </w:tcPr>
          <w:p w14:paraId="35C3C113">
            <w:pPr>
              <w:adjustRightInd w:val="0"/>
              <w:snapToGrid w:val="0"/>
              <w:ind w:firstLine="560"/>
              <w:jc w:val="center"/>
              <w:rPr>
                <w:rFonts w:ascii="Times New Roman" w:hAnsi="Times New Roman" w:eastAsia="仿宋_GB2312" w:cs="Times New Roman"/>
                <w:kern w:val="0"/>
                <w:sz w:val="28"/>
                <w:szCs w:val="28"/>
              </w:rPr>
            </w:pPr>
          </w:p>
        </w:tc>
        <w:tc>
          <w:tcPr>
            <w:tcW w:w="869" w:type="dxa"/>
            <w:vAlign w:val="center"/>
          </w:tcPr>
          <w:p w14:paraId="0F68A00E">
            <w:pPr>
              <w:pStyle w:val="17"/>
              <w:adjustRightInd w:val="0"/>
              <w:snapToGrid w:val="0"/>
              <w:ind w:firstLine="0" w:firstLineChars="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30</w:t>
            </w:r>
          </w:p>
        </w:tc>
        <w:tc>
          <w:tcPr>
            <w:tcW w:w="3680" w:type="dxa"/>
            <w:vAlign w:val="center"/>
          </w:tcPr>
          <w:p w14:paraId="4738C2DF">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编制</w:t>
            </w:r>
            <w:r>
              <w:rPr>
                <w:rFonts w:hint="eastAsia" w:ascii="Times New Roman" w:hAnsi="Times New Roman" w:eastAsia="仿宋_GB2312" w:cs="Times New Roman"/>
                <w:kern w:val="0"/>
                <w:sz w:val="28"/>
                <w:szCs w:val="28"/>
              </w:rPr>
              <w:t>绿色工业园区</w:t>
            </w:r>
            <w:r>
              <w:rPr>
                <w:rFonts w:ascii="Times New Roman" w:hAnsi="Times New Roman" w:eastAsia="仿宋_GB2312" w:cs="Times New Roman"/>
                <w:kern w:val="0"/>
                <w:sz w:val="28"/>
                <w:szCs w:val="28"/>
              </w:rPr>
              <w:t>发展规划</w:t>
            </w:r>
          </w:p>
        </w:tc>
        <w:tc>
          <w:tcPr>
            <w:tcW w:w="1140" w:type="dxa"/>
            <w:vAlign w:val="center"/>
          </w:tcPr>
          <w:p w14:paraId="3CE47469">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w:t>
            </w:r>
          </w:p>
        </w:tc>
        <w:tc>
          <w:tcPr>
            <w:tcW w:w="1276" w:type="dxa"/>
            <w:vAlign w:val="center"/>
          </w:tcPr>
          <w:p w14:paraId="63634AA5">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是</w:t>
            </w:r>
          </w:p>
        </w:tc>
        <w:tc>
          <w:tcPr>
            <w:tcW w:w="1363" w:type="dxa"/>
            <w:vAlign w:val="center"/>
          </w:tcPr>
          <w:p w14:paraId="48B1D124">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必选</w:t>
            </w:r>
          </w:p>
        </w:tc>
      </w:tr>
      <w:tr w14:paraId="54B2B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59" w:type="dxa"/>
            <w:vMerge w:val="continue"/>
            <w:vAlign w:val="center"/>
          </w:tcPr>
          <w:p w14:paraId="1D40A2DA">
            <w:pPr>
              <w:adjustRightInd w:val="0"/>
              <w:snapToGrid w:val="0"/>
              <w:ind w:firstLine="560"/>
              <w:jc w:val="center"/>
              <w:rPr>
                <w:rFonts w:ascii="Times New Roman" w:hAnsi="Times New Roman" w:eastAsia="仿宋_GB2312" w:cs="Times New Roman"/>
                <w:kern w:val="0"/>
                <w:sz w:val="28"/>
                <w:szCs w:val="28"/>
              </w:rPr>
            </w:pPr>
          </w:p>
        </w:tc>
        <w:tc>
          <w:tcPr>
            <w:tcW w:w="869" w:type="dxa"/>
            <w:vAlign w:val="center"/>
          </w:tcPr>
          <w:p w14:paraId="3A2FA819">
            <w:pPr>
              <w:pStyle w:val="17"/>
              <w:adjustRightInd w:val="0"/>
              <w:snapToGrid w:val="0"/>
              <w:ind w:firstLine="0" w:firstLineChars="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31</w:t>
            </w:r>
          </w:p>
        </w:tc>
        <w:tc>
          <w:tcPr>
            <w:tcW w:w="3680" w:type="dxa"/>
            <w:vAlign w:val="center"/>
          </w:tcPr>
          <w:p w14:paraId="67074117">
            <w:pPr>
              <w:adjustRightInd w:val="0"/>
              <w:snapToGrid w:val="0"/>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绿色工业园区</w:t>
            </w:r>
            <w:r>
              <w:rPr>
                <w:rFonts w:ascii="Times New Roman" w:hAnsi="Times New Roman" w:eastAsia="仿宋_GB2312" w:cs="Times New Roman"/>
                <w:kern w:val="0"/>
                <w:sz w:val="28"/>
                <w:szCs w:val="28"/>
              </w:rPr>
              <w:t>信息平台完善程度</w:t>
            </w:r>
          </w:p>
        </w:tc>
        <w:tc>
          <w:tcPr>
            <w:tcW w:w="1140" w:type="dxa"/>
            <w:vAlign w:val="center"/>
          </w:tcPr>
          <w:p w14:paraId="08B58F68">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w:t>
            </w:r>
          </w:p>
        </w:tc>
        <w:tc>
          <w:tcPr>
            <w:tcW w:w="1276" w:type="dxa"/>
            <w:vAlign w:val="center"/>
          </w:tcPr>
          <w:p w14:paraId="41272ED2">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完善</w:t>
            </w:r>
          </w:p>
        </w:tc>
        <w:tc>
          <w:tcPr>
            <w:tcW w:w="1363" w:type="dxa"/>
            <w:vAlign w:val="center"/>
          </w:tcPr>
          <w:p w14:paraId="132D2385">
            <w:pPr>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必选</w:t>
            </w:r>
          </w:p>
        </w:tc>
      </w:tr>
    </w:tbl>
    <w:p w14:paraId="5FA077F3">
      <w:pPr>
        <w:ind w:firstLine="630"/>
        <w:rPr>
          <w:rFonts w:ascii="楷体" w:hAnsi="楷体" w:eastAsia="楷体" w:cs="楷体"/>
          <w:sz w:val="32"/>
          <w:szCs w:val="32"/>
        </w:rPr>
      </w:pPr>
      <w:r>
        <w:rPr>
          <w:rFonts w:ascii="楷体" w:hAnsi="楷体" w:eastAsia="楷体" w:cs="楷体"/>
          <w:sz w:val="32"/>
          <w:szCs w:val="32"/>
        </w:rPr>
        <w:t>（三）评价方法</w:t>
      </w:r>
    </w:p>
    <w:p w14:paraId="7E6943DF">
      <w:pPr>
        <w:ind w:firstLine="630"/>
        <w:rPr>
          <w:rFonts w:ascii="Times New Roman" w:hAnsi="Times New Roman" w:cs="Times New Roman"/>
        </w:rPr>
      </w:pPr>
      <w:r>
        <w:rPr>
          <w:rFonts w:ascii="Times New Roman" w:hAnsi="Times New Roman" w:eastAsia="仿宋_GB2312" w:cs="Times New Roman"/>
          <w:sz w:val="32"/>
          <w:szCs w:val="32"/>
        </w:rPr>
        <w:t>工业园区绿色指数的计算方法如下面公式所示。</w:t>
      </w:r>
    </w:p>
    <w:p w14:paraId="6B3F1FC7">
      <w:pPr>
        <w:pStyle w:val="22"/>
        <w:ind w:firstLine="480"/>
        <w:rPr>
          <w:rFonts w:ascii="Times New Roman" w:eastAsia="仿宋_GB2312"/>
          <w:szCs w:val="21"/>
        </w:rPr>
      </w:pPr>
      <m:oMathPara>
        <m:oMath>
          <m:r>
            <m:rPr/>
            <w:rPr>
              <w:rFonts w:ascii="Cambria Math" w:hAnsi="黑体" w:eastAsia="黑体" w:cs="黑体"/>
              <w:sz w:val="24"/>
              <w:szCs w:val="24"/>
            </w:rPr>
            <m:t>GI=</m:t>
          </m:r>
          <m:f>
            <m:fPr>
              <m:ctrlPr>
                <w:rPr>
                  <w:rFonts w:ascii="Cambria Math" w:hAnsi="黑体" w:eastAsia="黑体" w:cs="黑体"/>
                  <w:i/>
                  <w:sz w:val="24"/>
                  <w:szCs w:val="24"/>
                </w:rPr>
              </m:ctrlPr>
            </m:fPr>
            <m:num>
              <m:r>
                <m:rPr/>
                <w:rPr>
                  <w:rFonts w:ascii="Cambria Math" w:hAnsi="黑体" w:eastAsia="黑体" w:cs="黑体"/>
                  <w:sz w:val="24"/>
                  <w:szCs w:val="24"/>
                </w:rPr>
                <m:t>1</m:t>
              </m:r>
              <m:ctrlPr>
                <w:rPr>
                  <w:rFonts w:ascii="Cambria Math" w:hAnsi="黑体" w:eastAsia="黑体" w:cs="黑体"/>
                  <w:i/>
                  <w:sz w:val="24"/>
                  <w:szCs w:val="24"/>
                </w:rPr>
              </m:ctrlPr>
            </m:num>
            <m:den>
              <m:r>
                <m:rPr/>
                <w:rPr>
                  <w:rFonts w:ascii="Cambria Math" w:hAnsi="黑体" w:eastAsia="黑体" w:cs="黑体"/>
                  <w:sz w:val="24"/>
                  <w:szCs w:val="24"/>
                </w:rPr>
                <m:t>24</m:t>
              </m:r>
              <m:ctrlPr>
                <w:rPr>
                  <w:rFonts w:ascii="Cambria Math" w:hAnsi="黑体" w:eastAsia="黑体" w:cs="黑体"/>
                  <w:i/>
                  <w:sz w:val="24"/>
                  <w:szCs w:val="24"/>
                </w:rPr>
              </m:ctrlPr>
            </m:den>
          </m:f>
          <m:d>
            <m:dPr>
              <m:begChr m:val="["/>
              <m:endChr m:val="]"/>
              <m:ctrlPr>
                <w:rPr>
                  <w:rFonts w:ascii="Cambria Math" w:hAnsi="黑体" w:eastAsia="黑体" w:cs="黑体"/>
                  <w:i/>
                  <w:sz w:val="24"/>
                  <w:szCs w:val="24"/>
                </w:rPr>
              </m:ctrlPr>
            </m:dPr>
            <m:e>
              <m:nary>
                <m:naryPr>
                  <m:chr m:val="∑"/>
                  <m:ctrlPr>
                    <w:rPr>
                      <w:rFonts w:ascii="Cambria Math" w:hAnsi="黑体" w:eastAsia="黑体" w:cs="黑体"/>
                      <w:i/>
                      <w:sz w:val="24"/>
                      <w:szCs w:val="24"/>
                    </w:rPr>
                  </m:ctrlPr>
                </m:naryPr>
                <m:sub>
                  <m:r>
                    <m:rPr/>
                    <w:rPr>
                      <w:rFonts w:ascii="Cambria Math" w:hAnsi="黑体" w:eastAsia="黑体" w:cs="黑体"/>
                      <w:sz w:val="24"/>
                      <w:szCs w:val="24"/>
                    </w:rPr>
                    <m:t>i=1</m:t>
                  </m:r>
                  <m:ctrlPr>
                    <w:rPr>
                      <w:rFonts w:ascii="Cambria Math" w:hAnsi="黑体" w:eastAsia="黑体" w:cs="黑体"/>
                      <w:i/>
                      <w:sz w:val="24"/>
                      <w:szCs w:val="24"/>
                    </w:rPr>
                  </m:ctrlPr>
                </m:sub>
                <m:sup>
                  <m:r>
                    <m:rPr/>
                    <w:rPr>
                      <w:rFonts w:ascii="Cambria Math" w:hAnsi="黑体" w:eastAsia="黑体" w:cs="黑体"/>
                      <w:sz w:val="24"/>
                      <w:szCs w:val="24"/>
                    </w:rPr>
                    <m:t>3</m:t>
                  </m:r>
                  <m:ctrlPr>
                    <w:rPr>
                      <w:rFonts w:ascii="Cambria Math" w:hAnsi="黑体" w:eastAsia="黑体" w:cs="黑体"/>
                      <w:i/>
                      <w:sz w:val="24"/>
                      <w:szCs w:val="24"/>
                    </w:rPr>
                  </m:ctrlPr>
                </m:sup>
                <m:e>
                  <m:f>
                    <m:fPr>
                      <m:ctrlPr>
                        <w:rPr>
                          <w:rFonts w:ascii="Cambria Math" w:hAnsi="黑体" w:eastAsia="黑体" w:cs="黑体"/>
                          <w:i/>
                          <w:sz w:val="24"/>
                          <w:szCs w:val="24"/>
                        </w:rPr>
                      </m:ctrlPr>
                    </m:fPr>
                    <m:num>
                      <m:r>
                        <m:rPr/>
                        <w:rPr>
                          <w:rFonts w:ascii="Cambria Math" w:hAnsi="黑体" w:eastAsia="黑体" w:cs="黑体"/>
                          <w:sz w:val="24"/>
                          <w:szCs w:val="24"/>
                        </w:rPr>
                        <m:t>E</m:t>
                      </m:r>
                      <m:sSub>
                        <m:sSubPr>
                          <m:ctrlPr>
                            <w:rPr>
                              <w:rFonts w:ascii="Cambria Math" w:hAnsi="黑体" w:eastAsia="黑体" w:cs="黑体"/>
                              <w:i/>
                              <w:sz w:val="24"/>
                              <w:szCs w:val="24"/>
                            </w:rPr>
                          </m:ctrlPr>
                        </m:sSubPr>
                        <m:e>
                          <m:r>
                            <m:rPr/>
                            <w:rPr>
                              <w:rFonts w:ascii="Cambria Math" w:hAnsi="黑体" w:eastAsia="黑体" w:cs="黑体"/>
                              <w:sz w:val="24"/>
                              <w:szCs w:val="24"/>
                            </w:rPr>
                            <m:t>G</m:t>
                          </m:r>
                          <m:ctrlPr>
                            <w:rPr>
                              <w:rFonts w:ascii="Cambria Math" w:hAnsi="黑体" w:eastAsia="黑体" w:cs="黑体"/>
                              <w:i/>
                              <w:sz w:val="24"/>
                              <w:szCs w:val="24"/>
                            </w:rPr>
                          </m:ctrlPr>
                        </m:e>
                        <m:sub>
                          <m:r>
                            <m:rPr/>
                            <w:rPr>
                              <w:rFonts w:ascii="Cambria Math" w:hAnsi="黑体" w:eastAsia="黑体" w:cs="黑体"/>
                              <w:sz w:val="24"/>
                              <w:szCs w:val="24"/>
                            </w:rPr>
                            <m:t>i</m:t>
                          </m:r>
                          <m:ctrlPr>
                            <w:rPr>
                              <w:rFonts w:ascii="Cambria Math" w:hAnsi="黑体" w:eastAsia="黑体" w:cs="黑体"/>
                              <w:i/>
                              <w:sz w:val="24"/>
                              <w:szCs w:val="24"/>
                            </w:rPr>
                          </m:ctrlPr>
                        </m:sub>
                      </m:sSub>
                      <m:ctrlPr>
                        <w:rPr>
                          <w:rFonts w:ascii="Cambria Math" w:hAnsi="黑体" w:eastAsia="黑体" w:cs="黑体"/>
                          <w:i/>
                          <w:sz w:val="24"/>
                          <w:szCs w:val="24"/>
                        </w:rPr>
                      </m:ctrlPr>
                    </m:num>
                    <m:den>
                      <m:r>
                        <m:rPr/>
                        <w:rPr>
                          <w:rFonts w:ascii="Cambria Math" w:hAnsi="黑体" w:eastAsia="黑体" w:cs="黑体"/>
                          <w:sz w:val="24"/>
                          <w:szCs w:val="24"/>
                        </w:rPr>
                        <m:t>E</m:t>
                      </m:r>
                      <m:sSub>
                        <m:sSubPr>
                          <m:ctrlPr>
                            <w:rPr>
                              <w:rFonts w:ascii="Cambria Math" w:hAnsi="黑体" w:eastAsia="黑体" w:cs="黑体"/>
                              <w:i/>
                              <w:sz w:val="24"/>
                              <w:szCs w:val="24"/>
                            </w:rPr>
                          </m:ctrlPr>
                        </m:sSubPr>
                        <m:e>
                          <m:r>
                            <m:rPr/>
                            <w:rPr>
                              <w:rFonts w:ascii="Cambria Math" w:hAnsi="黑体" w:eastAsia="黑体" w:cs="黑体"/>
                              <w:sz w:val="24"/>
                              <w:szCs w:val="24"/>
                            </w:rPr>
                            <m:t>G</m:t>
                          </m:r>
                          <m:ctrlPr>
                            <w:rPr>
                              <w:rFonts w:ascii="Cambria Math" w:hAnsi="黑体" w:eastAsia="黑体" w:cs="黑体"/>
                              <w:i/>
                              <w:sz w:val="24"/>
                              <w:szCs w:val="24"/>
                            </w:rPr>
                          </m:ctrlPr>
                        </m:e>
                        <m:sub>
                          <m:r>
                            <m:rPr/>
                            <w:rPr>
                              <w:rFonts w:ascii="Cambria Math" w:hAnsi="黑体" w:eastAsia="黑体" w:cs="黑体"/>
                              <w:sz w:val="24"/>
                              <w:szCs w:val="24"/>
                            </w:rPr>
                            <m:t>bi</m:t>
                          </m:r>
                          <m:ctrlPr>
                            <w:rPr>
                              <w:rFonts w:ascii="Cambria Math" w:hAnsi="黑体" w:eastAsia="黑体" w:cs="黑体"/>
                              <w:i/>
                              <w:sz w:val="24"/>
                              <w:szCs w:val="24"/>
                            </w:rPr>
                          </m:ctrlPr>
                        </m:sub>
                      </m:sSub>
                      <m:ctrlPr>
                        <w:rPr>
                          <w:rFonts w:ascii="Cambria Math" w:hAnsi="Cambria Math" w:eastAsia="黑体" w:cs="黑体"/>
                          <w:i/>
                          <w:sz w:val="24"/>
                          <w:szCs w:val="24"/>
                        </w:rPr>
                      </m:ctrlPr>
                    </m:den>
                  </m:f>
                  <m:ctrlPr>
                    <w:rPr>
                      <w:rFonts w:ascii="Cambria Math" w:hAnsi="Cambria Math" w:eastAsia="黑体" w:cs="黑体"/>
                      <w:i/>
                      <w:sz w:val="24"/>
                      <w:szCs w:val="24"/>
                    </w:rPr>
                  </m:ctrlPr>
                </m:e>
              </m:nary>
              <m:r>
                <m:rPr/>
                <w:rPr>
                  <w:rFonts w:ascii="Cambria Math" w:hAnsi="黑体" w:eastAsia="黑体" w:cs="黑体"/>
                  <w:sz w:val="24"/>
                  <w:szCs w:val="24"/>
                </w:rPr>
                <m:t>+</m:t>
              </m:r>
              <m:nary>
                <m:naryPr>
                  <m:chr m:val="∑"/>
                  <m:ctrlPr>
                    <w:rPr>
                      <w:rFonts w:ascii="Cambria Math" w:hAnsi="黑体" w:eastAsia="黑体" w:cs="黑体"/>
                      <w:i/>
                      <w:sz w:val="24"/>
                      <w:szCs w:val="24"/>
                    </w:rPr>
                  </m:ctrlPr>
                </m:naryPr>
                <m:sub>
                  <m:r>
                    <m:rPr/>
                    <w:rPr>
                      <w:rFonts w:ascii="Cambria Math" w:hAnsi="黑体" w:eastAsia="黑体" w:cs="黑体"/>
                      <w:sz w:val="24"/>
                      <w:szCs w:val="24"/>
                    </w:rPr>
                    <m:t>j=1</m:t>
                  </m:r>
                  <m:ctrlPr>
                    <w:rPr>
                      <w:rFonts w:ascii="Cambria Math" w:hAnsi="黑体" w:eastAsia="黑体" w:cs="黑体"/>
                      <w:i/>
                      <w:sz w:val="24"/>
                      <w:szCs w:val="24"/>
                    </w:rPr>
                  </m:ctrlPr>
                </m:sub>
                <m:sup>
                  <m:r>
                    <m:rPr/>
                    <w:rPr>
                      <w:rFonts w:ascii="Cambria Math" w:hAnsi="黑体" w:eastAsia="黑体" w:cs="黑体"/>
                      <w:sz w:val="24"/>
                      <w:szCs w:val="24"/>
                    </w:rPr>
                    <m:t>6</m:t>
                  </m:r>
                  <m:ctrlPr>
                    <w:rPr>
                      <w:rFonts w:ascii="Cambria Math" w:hAnsi="黑体" w:eastAsia="黑体" w:cs="黑体"/>
                      <w:i/>
                      <w:sz w:val="24"/>
                      <w:szCs w:val="24"/>
                    </w:rPr>
                  </m:ctrlPr>
                </m:sup>
                <m:e>
                  <m:f>
                    <m:fPr>
                      <m:ctrlPr>
                        <w:rPr>
                          <w:rFonts w:ascii="Cambria Math" w:hAnsi="黑体" w:eastAsia="黑体" w:cs="黑体"/>
                          <w:i/>
                          <w:sz w:val="24"/>
                          <w:szCs w:val="24"/>
                        </w:rPr>
                      </m:ctrlPr>
                    </m:fPr>
                    <m:num>
                      <m:r>
                        <m:rPr/>
                        <w:rPr>
                          <w:rFonts w:ascii="Cambria Math" w:hAnsi="黑体" w:eastAsia="黑体" w:cs="黑体"/>
                          <w:sz w:val="24"/>
                          <w:szCs w:val="24"/>
                        </w:rPr>
                        <m:t>R</m:t>
                      </m:r>
                      <m:sSub>
                        <m:sSubPr>
                          <m:ctrlPr>
                            <w:rPr>
                              <w:rFonts w:ascii="Cambria Math" w:hAnsi="黑体" w:eastAsia="黑体" w:cs="黑体"/>
                              <w:i/>
                              <w:sz w:val="24"/>
                              <w:szCs w:val="24"/>
                            </w:rPr>
                          </m:ctrlPr>
                        </m:sSubPr>
                        <m:e>
                          <m:r>
                            <m:rPr/>
                            <w:rPr>
                              <w:rFonts w:ascii="Cambria Math" w:hAnsi="黑体" w:eastAsia="黑体" w:cs="黑体"/>
                              <w:sz w:val="24"/>
                              <w:szCs w:val="24"/>
                            </w:rPr>
                            <m:t>G</m:t>
                          </m:r>
                          <m:ctrlPr>
                            <w:rPr>
                              <w:rFonts w:ascii="Cambria Math" w:hAnsi="黑体" w:eastAsia="黑体" w:cs="黑体"/>
                              <w:i/>
                              <w:sz w:val="24"/>
                              <w:szCs w:val="24"/>
                            </w:rPr>
                          </m:ctrlPr>
                        </m:e>
                        <m:sub>
                          <m:r>
                            <m:rPr/>
                            <w:rPr>
                              <w:rFonts w:ascii="Cambria Math" w:hAnsi="黑体" w:eastAsia="黑体" w:cs="黑体"/>
                              <w:sz w:val="24"/>
                              <w:szCs w:val="24"/>
                            </w:rPr>
                            <m:t>j</m:t>
                          </m:r>
                          <m:ctrlPr>
                            <w:rPr>
                              <w:rFonts w:ascii="Cambria Math" w:hAnsi="黑体" w:eastAsia="黑体" w:cs="黑体"/>
                              <w:i/>
                              <w:sz w:val="24"/>
                              <w:szCs w:val="24"/>
                            </w:rPr>
                          </m:ctrlPr>
                        </m:sub>
                      </m:sSub>
                      <m:ctrlPr>
                        <w:rPr>
                          <w:rFonts w:ascii="Cambria Math" w:hAnsi="黑体" w:eastAsia="黑体" w:cs="黑体"/>
                          <w:i/>
                          <w:sz w:val="24"/>
                          <w:szCs w:val="24"/>
                        </w:rPr>
                      </m:ctrlPr>
                    </m:num>
                    <m:den>
                      <m:r>
                        <m:rPr/>
                        <w:rPr>
                          <w:rFonts w:ascii="Cambria Math" w:hAnsi="黑体" w:eastAsia="黑体" w:cs="黑体"/>
                          <w:sz w:val="24"/>
                          <w:szCs w:val="24"/>
                        </w:rPr>
                        <m:t>R</m:t>
                      </m:r>
                      <m:sSub>
                        <m:sSubPr>
                          <m:ctrlPr>
                            <w:rPr>
                              <w:rFonts w:ascii="Cambria Math" w:hAnsi="黑体" w:eastAsia="黑体" w:cs="黑体"/>
                              <w:i/>
                              <w:sz w:val="24"/>
                              <w:szCs w:val="24"/>
                            </w:rPr>
                          </m:ctrlPr>
                        </m:sSubPr>
                        <m:e>
                          <m:r>
                            <m:rPr/>
                            <w:rPr>
                              <w:rFonts w:ascii="Cambria Math" w:hAnsi="黑体" w:eastAsia="黑体" w:cs="黑体"/>
                              <w:sz w:val="24"/>
                              <w:szCs w:val="24"/>
                            </w:rPr>
                            <m:t>G</m:t>
                          </m:r>
                          <m:ctrlPr>
                            <w:rPr>
                              <w:rFonts w:ascii="Cambria Math" w:hAnsi="黑体" w:eastAsia="黑体" w:cs="黑体"/>
                              <w:i/>
                              <w:sz w:val="24"/>
                              <w:szCs w:val="24"/>
                            </w:rPr>
                          </m:ctrlPr>
                        </m:e>
                        <m:sub>
                          <m:r>
                            <m:rPr/>
                            <w:rPr>
                              <w:rFonts w:ascii="Cambria Math" w:hAnsi="黑体" w:eastAsia="黑体" w:cs="黑体"/>
                              <w:sz w:val="24"/>
                              <w:szCs w:val="24"/>
                            </w:rPr>
                            <m:t>bj</m:t>
                          </m:r>
                          <m:ctrlPr>
                            <w:rPr>
                              <w:rFonts w:ascii="Cambria Math" w:hAnsi="黑体" w:eastAsia="黑体" w:cs="黑体"/>
                              <w:i/>
                              <w:sz w:val="24"/>
                              <w:szCs w:val="24"/>
                            </w:rPr>
                          </m:ctrlPr>
                        </m:sub>
                      </m:sSub>
                      <m:ctrlPr>
                        <w:rPr>
                          <w:rFonts w:ascii="Cambria Math" w:hAnsi="Cambria Math" w:eastAsia="黑体" w:cs="黑体"/>
                          <w:i/>
                          <w:sz w:val="24"/>
                          <w:szCs w:val="24"/>
                        </w:rPr>
                      </m:ctrlPr>
                    </m:den>
                  </m:f>
                  <m:ctrlPr>
                    <w:rPr>
                      <w:rFonts w:ascii="Cambria Math" w:hAnsi="Cambria Math" w:eastAsia="黑体" w:cs="黑体"/>
                      <w:i/>
                      <w:sz w:val="24"/>
                      <w:szCs w:val="24"/>
                    </w:rPr>
                  </m:ctrlPr>
                </m:e>
              </m:nary>
              <m:r>
                <m:rPr/>
                <w:rPr>
                  <w:rFonts w:ascii="Cambria Math" w:hAnsi="黑体" w:eastAsia="黑体" w:cs="黑体"/>
                  <w:sz w:val="24"/>
                  <w:szCs w:val="24"/>
                </w:rPr>
                <m:t>+</m:t>
              </m:r>
              <m:nary>
                <m:naryPr>
                  <m:chr m:val="∑"/>
                  <m:ctrlPr>
                    <w:rPr>
                      <w:rFonts w:ascii="Cambria Math" w:hAnsi="黑体" w:eastAsia="黑体" w:cs="黑体"/>
                      <w:i/>
                      <w:sz w:val="24"/>
                      <w:szCs w:val="24"/>
                    </w:rPr>
                  </m:ctrlPr>
                </m:naryPr>
                <m:sub>
                  <m:r>
                    <m:rPr/>
                    <w:rPr>
                      <w:rFonts w:ascii="Cambria Math" w:hAnsi="黑体" w:eastAsia="黑体" w:cs="黑体"/>
                      <w:sz w:val="24"/>
                      <w:szCs w:val="24"/>
                    </w:rPr>
                    <m:t>k=1</m:t>
                  </m:r>
                  <m:ctrlPr>
                    <w:rPr>
                      <w:rFonts w:ascii="Cambria Math" w:hAnsi="黑体" w:eastAsia="黑体" w:cs="黑体"/>
                      <w:i/>
                      <w:sz w:val="24"/>
                      <w:szCs w:val="24"/>
                    </w:rPr>
                  </m:ctrlPr>
                </m:sub>
                <m:sup>
                  <m:r>
                    <m:rPr/>
                    <w:rPr>
                      <w:rFonts w:ascii="Cambria Math" w:hAnsi="黑体" w:eastAsia="黑体" w:cs="黑体"/>
                      <w:sz w:val="24"/>
                      <w:szCs w:val="24"/>
                    </w:rPr>
                    <m:t>3</m:t>
                  </m:r>
                  <m:ctrlPr>
                    <w:rPr>
                      <w:rFonts w:ascii="Cambria Math" w:hAnsi="黑体" w:eastAsia="黑体" w:cs="黑体"/>
                      <w:i/>
                      <w:sz w:val="24"/>
                      <w:szCs w:val="24"/>
                    </w:rPr>
                  </m:ctrlPr>
                </m:sup>
                <m:e>
                  <m:f>
                    <m:fPr>
                      <m:ctrlPr>
                        <w:rPr>
                          <w:rFonts w:ascii="Cambria Math" w:hAnsi="黑体" w:eastAsia="黑体" w:cs="黑体"/>
                          <w:i/>
                          <w:sz w:val="24"/>
                          <w:szCs w:val="24"/>
                        </w:rPr>
                      </m:ctrlPr>
                    </m:fPr>
                    <m:num>
                      <m:r>
                        <m:rPr/>
                        <w:rPr>
                          <w:rFonts w:ascii="Cambria Math" w:hAnsi="黑体" w:eastAsia="黑体" w:cs="黑体"/>
                          <w:sz w:val="24"/>
                          <w:szCs w:val="24"/>
                        </w:rPr>
                        <m:t>I</m:t>
                      </m:r>
                      <m:sSub>
                        <m:sSubPr>
                          <m:ctrlPr>
                            <w:rPr>
                              <w:rFonts w:ascii="Cambria Math" w:hAnsi="黑体" w:eastAsia="黑体" w:cs="黑体"/>
                              <w:i/>
                              <w:sz w:val="24"/>
                              <w:szCs w:val="24"/>
                            </w:rPr>
                          </m:ctrlPr>
                        </m:sSubPr>
                        <m:e>
                          <m:r>
                            <m:rPr/>
                            <w:rPr>
                              <w:rFonts w:ascii="Cambria Math" w:hAnsi="黑体" w:eastAsia="黑体" w:cs="黑体"/>
                              <w:sz w:val="24"/>
                              <w:szCs w:val="24"/>
                            </w:rPr>
                            <m:t>G</m:t>
                          </m:r>
                          <m:ctrlPr>
                            <w:rPr>
                              <w:rFonts w:ascii="Cambria Math" w:hAnsi="黑体" w:eastAsia="黑体" w:cs="黑体"/>
                              <w:i/>
                              <w:sz w:val="24"/>
                              <w:szCs w:val="24"/>
                            </w:rPr>
                          </m:ctrlPr>
                        </m:e>
                        <m:sub>
                          <m:r>
                            <m:rPr/>
                            <w:rPr>
                              <w:rFonts w:ascii="Cambria Math" w:hAnsi="黑体" w:eastAsia="黑体" w:cs="黑体"/>
                              <w:sz w:val="24"/>
                              <w:szCs w:val="24"/>
                            </w:rPr>
                            <m:t>k</m:t>
                          </m:r>
                          <m:ctrlPr>
                            <w:rPr>
                              <w:rFonts w:ascii="Cambria Math" w:hAnsi="黑体" w:eastAsia="黑体" w:cs="黑体"/>
                              <w:i/>
                              <w:sz w:val="24"/>
                              <w:szCs w:val="24"/>
                            </w:rPr>
                          </m:ctrlPr>
                        </m:sub>
                      </m:sSub>
                      <m:ctrlPr>
                        <w:rPr>
                          <w:rFonts w:ascii="Cambria Math" w:hAnsi="黑体" w:eastAsia="黑体" w:cs="黑体"/>
                          <w:i/>
                          <w:sz w:val="24"/>
                          <w:szCs w:val="24"/>
                        </w:rPr>
                      </m:ctrlPr>
                    </m:num>
                    <m:den>
                      <m:r>
                        <m:rPr/>
                        <w:rPr>
                          <w:rFonts w:ascii="Cambria Math" w:hAnsi="黑体" w:eastAsia="黑体" w:cs="黑体"/>
                          <w:sz w:val="24"/>
                          <w:szCs w:val="24"/>
                        </w:rPr>
                        <m:t>I</m:t>
                      </m:r>
                      <m:sSub>
                        <m:sSubPr>
                          <m:ctrlPr>
                            <w:rPr>
                              <w:rFonts w:ascii="Cambria Math" w:hAnsi="黑体" w:eastAsia="黑体" w:cs="黑体"/>
                              <w:i/>
                              <w:sz w:val="24"/>
                              <w:szCs w:val="24"/>
                            </w:rPr>
                          </m:ctrlPr>
                        </m:sSubPr>
                        <m:e>
                          <m:r>
                            <m:rPr/>
                            <w:rPr>
                              <w:rFonts w:ascii="Cambria Math" w:hAnsi="黑体" w:eastAsia="黑体" w:cs="黑体"/>
                              <w:sz w:val="24"/>
                              <w:szCs w:val="24"/>
                            </w:rPr>
                            <m:t>G</m:t>
                          </m:r>
                          <m:ctrlPr>
                            <w:rPr>
                              <w:rFonts w:ascii="Cambria Math" w:hAnsi="黑体" w:eastAsia="黑体" w:cs="黑体"/>
                              <w:i/>
                              <w:sz w:val="24"/>
                              <w:szCs w:val="24"/>
                            </w:rPr>
                          </m:ctrlPr>
                        </m:e>
                        <m:sub>
                          <m:r>
                            <m:rPr/>
                            <w:rPr>
                              <w:rFonts w:ascii="Cambria Math" w:hAnsi="黑体" w:eastAsia="黑体" w:cs="黑体"/>
                              <w:sz w:val="24"/>
                              <w:szCs w:val="24"/>
                            </w:rPr>
                            <m:t>bk</m:t>
                          </m:r>
                          <m:ctrlPr>
                            <w:rPr>
                              <w:rFonts w:ascii="Cambria Math" w:hAnsi="黑体" w:eastAsia="黑体" w:cs="黑体"/>
                              <w:sz w:val="24"/>
                              <w:szCs w:val="24"/>
                            </w:rPr>
                          </m:ctrlPr>
                        </m:sub>
                      </m:sSub>
                      <m:ctrlPr>
                        <w:rPr>
                          <w:rFonts w:ascii="Cambria Math" w:hAnsi="Cambria Math" w:eastAsia="黑体" w:cs="黑体"/>
                          <w:i/>
                          <w:sz w:val="24"/>
                          <w:szCs w:val="24"/>
                        </w:rPr>
                      </m:ctrlPr>
                    </m:den>
                  </m:f>
                  <m:ctrlPr>
                    <w:rPr>
                      <w:rFonts w:ascii="Cambria Math" w:hAnsi="Cambria Math" w:eastAsia="黑体" w:cs="黑体"/>
                      <w:i/>
                      <w:sz w:val="24"/>
                      <w:szCs w:val="24"/>
                    </w:rPr>
                  </m:ctrlPr>
                </m:e>
              </m:nary>
              <m:r>
                <m:rPr/>
                <w:rPr>
                  <w:rFonts w:ascii="Cambria Math" w:hAnsi="黑体" w:eastAsia="黑体" w:cs="黑体"/>
                  <w:sz w:val="24"/>
                  <w:szCs w:val="24"/>
                </w:rPr>
                <m:t>+</m:t>
              </m:r>
              <m:nary>
                <m:naryPr>
                  <m:chr m:val="∑"/>
                  <m:ctrlPr>
                    <w:rPr>
                      <w:rFonts w:ascii="Cambria Math" w:hAnsi="黑体" w:eastAsia="黑体" w:cs="黑体"/>
                      <w:i/>
                      <w:sz w:val="24"/>
                      <w:szCs w:val="24"/>
                    </w:rPr>
                  </m:ctrlPr>
                </m:naryPr>
                <m:sub>
                  <m:r>
                    <m:rPr/>
                    <w:rPr>
                      <w:rFonts w:ascii="Cambria Math" w:hAnsi="黑体" w:eastAsia="黑体" w:cs="黑体"/>
                      <w:sz w:val="24"/>
                      <w:szCs w:val="24"/>
                    </w:rPr>
                    <m:t>f=1</m:t>
                  </m:r>
                  <m:ctrlPr>
                    <w:rPr>
                      <w:rFonts w:ascii="Cambria Math" w:hAnsi="黑体" w:eastAsia="黑体" w:cs="黑体"/>
                      <w:i/>
                      <w:sz w:val="24"/>
                      <w:szCs w:val="24"/>
                    </w:rPr>
                  </m:ctrlPr>
                </m:sub>
                <m:sup>
                  <m:r>
                    <m:rPr/>
                    <w:rPr>
                      <w:rFonts w:ascii="Cambria Math" w:hAnsi="黑体" w:eastAsia="黑体" w:cs="黑体"/>
                      <w:sz w:val="24"/>
                      <w:szCs w:val="24"/>
                    </w:rPr>
                    <m:t>3</m:t>
                  </m:r>
                  <m:ctrlPr>
                    <w:rPr>
                      <w:rFonts w:ascii="Cambria Math" w:hAnsi="黑体" w:eastAsia="黑体" w:cs="黑体"/>
                      <w:i/>
                      <w:sz w:val="24"/>
                      <w:szCs w:val="24"/>
                    </w:rPr>
                  </m:ctrlPr>
                </m:sup>
                <m:e>
                  <m:f>
                    <m:fPr>
                      <m:ctrlPr>
                        <w:rPr>
                          <w:rFonts w:ascii="Cambria Math" w:hAnsi="黑体" w:eastAsia="黑体" w:cs="黑体"/>
                          <w:i/>
                          <w:sz w:val="24"/>
                          <w:szCs w:val="24"/>
                        </w:rPr>
                      </m:ctrlPr>
                    </m:fPr>
                    <m:num>
                      <m:r>
                        <m:rPr/>
                        <w:rPr>
                          <w:rFonts w:ascii="Cambria Math" w:hAnsi="黑体" w:eastAsia="黑体" w:cs="黑体"/>
                          <w:sz w:val="24"/>
                          <w:szCs w:val="24"/>
                        </w:rPr>
                        <m:t>C</m:t>
                      </m:r>
                      <m:sSub>
                        <m:sSubPr>
                          <m:ctrlPr>
                            <w:rPr>
                              <w:rFonts w:ascii="Cambria Math" w:hAnsi="黑体" w:eastAsia="黑体" w:cs="黑体"/>
                              <w:i/>
                              <w:sz w:val="24"/>
                              <w:szCs w:val="24"/>
                            </w:rPr>
                          </m:ctrlPr>
                        </m:sSubPr>
                        <m:e>
                          <m:r>
                            <m:rPr/>
                            <w:rPr>
                              <w:rFonts w:ascii="Cambria Math" w:hAnsi="黑体" w:eastAsia="黑体" w:cs="黑体"/>
                              <w:sz w:val="24"/>
                              <w:szCs w:val="24"/>
                            </w:rPr>
                            <m:t>G</m:t>
                          </m:r>
                          <m:ctrlPr>
                            <w:rPr>
                              <w:rFonts w:ascii="Cambria Math" w:hAnsi="黑体" w:eastAsia="黑体" w:cs="黑体"/>
                              <w:i/>
                              <w:sz w:val="24"/>
                              <w:szCs w:val="24"/>
                            </w:rPr>
                          </m:ctrlPr>
                        </m:e>
                        <m:sub>
                          <m:r>
                            <m:rPr/>
                            <w:rPr>
                              <w:rFonts w:ascii="Cambria Math" w:hAnsi="黑体" w:eastAsia="黑体" w:cs="黑体"/>
                              <w:sz w:val="24"/>
                              <w:szCs w:val="24"/>
                            </w:rPr>
                            <m:t>f</m:t>
                          </m:r>
                          <m:ctrlPr>
                            <w:rPr>
                              <w:rFonts w:ascii="Cambria Math" w:hAnsi="黑体" w:eastAsia="黑体" w:cs="黑体"/>
                              <w:i/>
                              <w:sz w:val="24"/>
                              <w:szCs w:val="24"/>
                            </w:rPr>
                          </m:ctrlPr>
                        </m:sub>
                      </m:sSub>
                      <m:ctrlPr>
                        <w:rPr>
                          <w:rFonts w:ascii="Cambria Math" w:hAnsi="黑体" w:eastAsia="黑体" w:cs="黑体"/>
                          <w:i/>
                          <w:sz w:val="24"/>
                          <w:szCs w:val="24"/>
                        </w:rPr>
                      </m:ctrlPr>
                    </m:num>
                    <m:den>
                      <m:r>
                        <m:rPr/>
                        <w:rPr>
                          <w:rFonts w:ascii="Cambria Math" w:hAnsi="黑体" w:eastAsia="黑体" w:cs="黑体"/>
                          <w:sz w:val="24"/>
                          <w:szCs w:val="24"/>
                        </w:rPr>
                        <m:t>C</m:t>
                      </m:r>
                      <m:sSub>
                        <m:sSubPr>
                          <m:ctrlPr>
                            <w:rPr>
                              <w:rFonts w:ascii="Cambria Math" w:hAnsi="黑体" w:eastAsia="黑体" w:cs="黑体"/>
                              <w:i/>
                              <w:sz w:val="24"/>
                              <w:szCs w:val="24"/>
                            </w:rPr>
                          </m:ctrlPr>
                        </m:sSubPr>
                        <m:e>
                          <m:r>
                            <m:rPr/>
                            <w:rPr>
                              <w:rFonts w:ascii="Cambria Math" w:hAnsi="黑体" w:eastAsia="黑体" w:cs="黑体"/>
                              <w:sz w:val="24"/>
                              <w:szCs w:val="24"/>
                            </w:rPr>
                            <m:t>G</m:t>
                          </m:r>
                          <m:ctrlPr>
                            <w:rPr>
                              <w:rFonts w:ascii="Cambria Math" w:hAnsi="黑体" w:eastAsia="黑体" w:cs="黑体"/>
                              <w:i/>
                              <w:sz w:val="24"/>
                              <w:szCs w:val="24"/>
                            </w:rPr>
                          </m:ctrlPr>
                        </m:e>
                        <m:sub>
                          <m:r>
                            <m:rPr/>
                            <w:rPr>
                              <w:rFonts w:ascii="Cambria Math" w:hAnsi="黑体" w:eastAsia="黑体" w:cs="黑体"/>
                              <w:sz w:val="24"/>
                              <w:szCs w:val="24"/>
                            </w:rPr>
                            <m:t>bf</m:t>
                          </m:r>
                          <m:ctrlPr>
                            <w:rPr>
                              <w:rFonts w:ascii="Cambria Math" w:hAnsi="黑体" w:eastAsia="黑体" w:cs="黑体"/>
                              <w:i/>
                              <w:sz w:val="24"/>
                              <w:szCs w:val="24"/>
                            </w:rPr>
                          </m:ctrlPr>
                        </m:sub>
                      </m:sSub>
                      <m:ctrlPr>
                        <w:rPr>
                          <w:rFonts w:ascii="Cambria Math" w:hAnsi="Cambria Math" w:eastAsia="黑体" w:cs="黑体"/>
                          <w:i/>
                          <w:sz w:val="24"/>
                          <w:szCs w:val="24"/>
                        </w:rPr>
                      </m:ctrlPr>
                    </m:den>
                  </m:f>
                  <m:r>
                    <m:rPr/>
                    <w:rPr>
                      <w:rFonts w:ascii="Cambria Math" w:hAnsi="黑体" w:eastAsia="黑体" w:cs="黑体"/>
                      <w:sz w:val="24"/>
                      <w:szCs w:val="24"/>
                    </w:rPr>
                    <m:t>+</m:t>
                  </m:r>
                  <m:nary>
                    <m:naryPr>
                      <m:chr m:val="∑"/>
                      <m:ctrlPr>
                        <w:rPr>
                          <w:rFonts w:ascii="Cambria Math" w:hAnsi="黑体" w:eastAsia="黑体" w:cs="黑体"/>
                          <w:i/>
                          <w:sz w:val="24"/>
                          <w:szCs w:val="24"/>
                        </w:rPr>
                      </m:ctrlPr>
                    </m:naryPr>
                    <m:sub>
                      <m:r>
                        <m:rPr/>
                        <w:rPr>
                          <w:rFonts w:ascii="Cambria Math" w:hAnsi="黑体" w:eastAsia="黑体" w:cs="黑体"/>
                          <w:sz w:val="24"/>
                          <w:szCs w:val="24"/>
                        </w:rPr>
                        <m:t>l=1</m:t>
                      </m:r>
                      <m:ctrlPr>
                        <w:rPr>
                          <w:rFonts w:ascii="Cambria Math" w:hAnsi="黑体" w:eastAsia="黑体" w:cs="黑体"/>
                          <w:i/>
                          <w:sz w:val="24"/>
                          <w:szCs w:val="24"/>
                        </w:rPr>
                      </m:ctrlPr>
                    </m:sub>
                    <m:sup>
                      <m:r>
                        <m:rPr/>
                        <w:rPr>
                          <w:rFonts w:ascii="Cambria Math" w:hAnsi="黑体" w:eastAsia="黑体" w:cs="黑体"/>
                          <w:sz w:val="24"/>
                          <w:szCs w:val="24"/>
                        </w:rPr>
                        <m:t>6</m:t>
                      </m:r>
                      <m:ctrlPr>
                        <w:rPr>
                          <w:rFonts w:ascii="Cambria Math" w:hAnsi="黑体" w:eastAsia="黑体" w:cs="黑体"/>
                          <w:i/>
                          <w:sz w:val="24"/>
                          <w:szCs w:val="24"/>
                        </w:rPr>
                      </m:ctrlPr>
                    </m:sup>
                    <m:e>
                      <m:f>
                        <m:fPr>
                          <m:ctrlPr>
                            <w:rPr>
                              <w:rFonts w:ascii="Cambria Math" w:hAnsi="黑体" w:eastAsia="黑体" w:cs="黑体"/>
                              <w:i/>
                              <w:sz w:val="24"/>
                              <w:szCs w:val="24"/>
                            </w:rPr>
                          </m:ctrlPr>
                        </m:fPr>
                        <m:num>
                          <m:r>
                            <m:rPr/>
                            <w:rPr>
                              <w:rFonts w:ascii="Cambria Math" w:hAnsi="黑体" w:eastAsia="黑体" w:cs="黑体"/>
                              <w:sz w:val="24"/>
                              <w:szCs w:val="24"/>
                            </w:rPr>
                            <m:t>H</m:t>
                          </m:r>
                          <m:sSub>
                            <m:sSubPr>
                              <m:ctrlPr>
                                <w:rPr>
                                  <w:rFonts w:ascii="Cambria Math" w:hAnsi="黑体" w:eastAsia="黑体" w:cs="黑体"/>
                                  <w:i/>
                                  <w:sz w:val="24"/>
                                  <w:szCs w:val="24"/>
                                </w:rPr>
                              </m:ctrlPr>
                            </m:sSubPr>
                            <m:e>
                              <m:r>
                                <m:rPr/>
                                <w:rPr>
                                  <w:rFonts w:ascii="Cambria Math" w:hAnsi="黑体" w:eastAsia="黑体" w:cs="黑体"/>
                                  <w:sz w:val="24"/>
                                  <w:szCs w:val="24"/>
                                </w:rPr>
                                <m:t>G</m:t>
                              </m:r>
                              <m:ctrlPr>
                                <w:rPr>
                                  <w:rFonts w:ascii="Cambria Math" w:hAnsi="黑体" w:eastAsia="黑体" w:cs="黑体"/>
                                  <w:i/>
                                  <w:sz w:val="24"/>
                                  <w:szCs w:val="24"/>
                                </w:rPr>
                              </m:ctrlPr>
                            </m:e>
                            <m:sub>
                              <m:r>
                                <m:rPr/>
                                <w:rPr>
                                  <w:rFonts w:ascii="Cambria Math" w:hAnsi="黑体" w:eastAsia="黑体" w:cs="黑体"/>
                                  <w:sz w:val="24"/>
                                  <w:szCs w:val="24"/>
                                </w:rPr>
                                <m:t>l</m:t>
                              </m:r>
                              <m:ctrlPr>
                                <w:rPr>
                                  <w:rFonts w:ascii="Cambria Math" w:hAnsi="黑体" w:eastAsia="黑体" w:cs="黑体"/>
                                  <w:i/>
                                  <w:sz w:val="24"/>
                                  <w:szCs w:val="24"/>
                                </w:rPr>
                              </m:ctrlPr>
                            </m:sub>
                          </m:sSub>
                          <m:ctrlPr>
                            <w:rPr>
                              <w:rFonts w:ascii="Cambria Math" w:hAnsi="黑体" w:eastAsia="黑体" w:cs="黑体"/>
                              <w:i/>
                              <w:sz w:val="24"/>
                              <w:szCs w:val="24"/>
                            </w:rPr>
                          </m:ctrlPr>
                        </m:num>
                        <m:den>
                          <m:r>
                            <m:rPr/>
                            <w:rPr>
                              <w:rFonts w:ascii="Cambria Math" w:hAnsi="黑体" w:eastAsia="黑体" w:cs="黑体"/>
                              <w:sz w:val="24"/>
                              <w:szCs w:val="24"/>
                            </w:rPr>
                            <m:t>H</m:t>
                          </m:r>
                          <m:sSub>
                            <m:sSubPr>
                              <m:ctrlPr>
                                <w:rPr>
                                  <w:rFonts w:ascii="Cambria Math" w:hAnsi="黑体" w:eastAsia="黑体" w:cs="黑体"/>
                                  <w:i/>
                                  <w:sz w:val="24"/>
                                  <w:szCs w:val="24"/>
                                </w:rPr>
                              </m:ctrlPr>
                            </m:sSubPr>
                            <m:e>
                              <m:r>
                                <m:rPr/>
                                <w:rPr>
                                  <w:rFonts w:ascii="Cambria Math" w:hAnsi="黑体" w:eastAsia="黑体" w:cs="黑体"/>
                                  <w:sz w:val="24"/>
                                  <w:szCs w:val="24"/>
                                </w:rPr>
                                <m:t>G</m:t>
                              </m:r>
                              <m:ctrlPr>
                                <w:rPr>
                                  <w:rFonts w:ascii="Cambria Math" w:hAnsi="黑体" w:eastAsia="黑体" w:cs="黑体"/>
                                  <w:i/>
                                  <w:sz w:val="24"/>
                                  <w:szCs w:val="24"/>
                                </w:rPr>
                              </m:ctrlPr>
                            </m:e>
                            <m:sub>
                              <m:r>
                                <m:rPr/>
                                <w:rPr>
                                  <w:rFonts w:ascii="Cambria Math" w:hAnsi="黑体" w:eastAsia="黑体" w:cs="黑体"/>
                                  <w:sz w:val="24"/>
                                  <w:szCs w:val="24"/>
                                </w:rPr>
                                <m:t>bl</m:t>
                              </m:r>
                              <m:ctrlPr>
                                <w:rPr>
                                  <w:rFonts w:ascii="Cambria Math" w:hAnsi="黑体" w:eastAsia="黑体" w:cs="黑体"/>
                                  <w:i/>
                                  <w:sz w:val="24"/>
                                  <w:szCs w:val="24"/>
                                </w:rPr>
                              </m:ctrlPr>
                            </m:sub>
                          </m:sSub>
                          <m:ctrlPr>
                            <w:rPr>
                              <w:rFonts w:ascii="Cambria Math" w:hAnsi="Cambria Math" w:eastAsia="黑体" w:cs="黑体"/>
                              <w:i/>
                              <w:sz w:val="24"/>
                              <w:szCs w:val="24"/>
                            </w:rPr>
                          </m:ctrlPr>
                        </m:den>
                      </m:f>
                      <m:ctrlPr>
                        <w:rPr>
                          <w:rFonts w:ascii="Cambria Math" w:hAnsi="Cambria Math" w:eastAsia="黑体" w:cs="黑体"/>
                          <w:i/>
                          <w:sz w:val="24"/>
                          <w:szCs w:val="24"/>
                        </w:rPr>
                      </m:ctrlPr>
                    </m:e>
                  </m:nary>
                  <m:r>
                    <m:rPr/>
                    <w:rPr>
                      <w:rFonts w:ascii="Cambria Math" w:hAnsi="黑体" w:eastAsia="黑体" w:cs="黑体"/>
                      <w:sz w:val="24"/>
                      <w:szCs w:val="24"/>
                    </w:rPr>
                    <m:t>（or</m:t>
                  </m:r>
                  <m:f>
                    <m:fPr>
                      <m:ctrlPr>
                        <w:rPr>
                          <w:rFonts w:ascii="Cambria Math" w:hAnsi="黑体" w:eastAsia="黑体" w:cs="黑体"/>
                          <w:i/>
                          <w:sz w:val="24"/>
                          <w:szCs w:val="24"/>
                        </w:rPr>
                      </m:ctrlPr>
                    </m:fPr>
                    <m:num>
                      <m:r>
                        <m:rPr/>
                        <w:rPr>
                          <w:rFonts w:ascii="Cambria Math" w:hAnsi="黑体" w:eastAsia="黑体" w:cs="黑体"/>
                          <w:sz w:val="24"/>
                          <w:szCs w:val="24"/>
                        </w:rPr>
                        <m:t>H</m:t>
                      </m:r>
                      <m:sSub>
                        <m:sSubPr>
                          <m:ctrlPr>
                            <w:rPr>
                              <w:rFonts w:ascii="Cambria Math" w:hAnsi="黑体" w:eastAsia="黑体" w:cs="黑体"/>
                              <w:i/>
                              <w:sz w:val="24"/>
                              <w:szCs w:val="24"/>
                            </w:rPr>
                          </m:ctrlPr>
                        </m:sSubPr>
                        <m:e>
                          <m:r>
                            <m:rPr/>
                            <w:rPr>
                              <w:rFonts w:ascii="Cambria Math" w:hAnsi="黑体" w:eastAsia="黑体" w:cs="黑体"/>
                              <w:sz w:val="24"/>
                              <w:szCs w:val="24"/>
                            </w:rPr>
                            <m:t>G</m:t>
                          </m:r>
                          <m:ctrlPr>
                            <w:rPr>
                              <w:rFonts w:ascii="Cambria Math" w:hAnsi="黑体" w:eastAsia="黑体" w:cs="黑体"/>
                              <w:i/>
                              <w:sz w:val="24"/>
                              <w:szCs w:val="24"/>
                            </w:rPr>
                          </m:ctrlPr>
                        </m:e>
                        <m:sub>
                          <m:r>
                            <m:rPr/>
                            <w:rPr>
                              <w:rFonts w:ascii="Cambria Math" w:hAnsi="黑体" w:eastAsia="黑体" w:cs="黑体"/>
                              <w:sz w:val="24"/>
                              <w:szCs w:val="24"/>
                            </w:rPr>
                            <m:t>bl</m:t>
                          </m:r>
                          <m:ctrlPr>
                            <w:rPr>
                              <w:rFonts w:ascii="Cambria Math" w:hAnsi="黑体" w:eastAsia="黑体" w:cs="黑体"/>
                              <w:sz w:val="24"/>
                              <w:szCs w:val="24"/>
                            </w:rPr>
                          </m:ctrlPr>
                        </m:sub>
                      </m:sSub>
                      <m:ctrlPr>
                        <w:rPr>
                          <w:rFonts w:ascii="Cambria Math" w:hAnsi="黑体" w:eastAsia="黑体" w:cs="黑体"/>
                          <w:i/>
                          <w:sz w:val="24"/>
                          <w:szCs w:val="24"/>
                        </w:rPr>
                      </m:ctrlPr>
                    </m:num>
                    <m:den>
                      <m:r>
                        <m:rPr/>
                        <w:rPr>
                          <w:rFonts w:ascii="Cambria Math" w:hAnsi="黑体" w:eastAsia="黑体" w:cs="黑体"/>
                          <w:sz w:val="24"/>
                          <w:szCs w:val="24"/>
                        </w:rPr>
                        <m:t>H</m:t>
                      </m:r>
                      <m:sSub>
                        <m:sSubPr>
                          <m:ctrlPr>
                            <w:rPr>
                              <w:rFonts w:ascii="Cambria Math" w:hAnsi="黑体" w:eastAsia="黑体" w:cs="黑体"/>
                              <w:i/>
                              <w:sz w:val="24"/>
                              <w:szCs w:val="24"/>
                            </w:rPr>
                          </m:ctrlPr>
                        </m:sSubPr>
                        <m:e>
                          <m:r>
                            <m:rPr/>
                            <w:rPr>
                              <w:rFonts w:ascii="Cambria Math" w:hAnsi="黑体" w:eastAsia="黑体" w:cs="黑体"/>
                              <w:sz w:val="24"/>
                              <w:szCs w:val="24"/>
                            </w:rPr>
                            <m:t>G</m:t>
                          </m:r>
                          <m:ctrlPr>
                            <w:rPr>
                              <w:rFonts w:ascii="Cambria Math" w:hAnsi="黑体" w:eastAsia="黑体" w:cs="黑体"/>
                              <w:i/>
                              <w:sz w:val="24"/>
                              <w:szCs w:val="24"/>
                            </w:rPr>
                          </m:ctrlPr>
                        </m:e>
                        <m:sub>
                          <m:r>
                            <m:rPr/>
                            <w:rPr>
                              <w:rFonts w:ascii="Cambria Math" w:hAnsi="黑体" w:eastAsia="黑体" w:cs="黑体"/>
                              <w:sz w:val="24"/>
                              <w:szCs w:val="24"/>
                            </w:rPr>
                            <m:t>l</m:t>
                          </m:r>
                          <m:ctrlPr>
                            <w:rPr>
                              <w:rFonts w:ascii="Cambria Math" w:hAnsi="黑体" w:eastAsia="黑体" w:cs="黑体"/>
                              <w:i/>
                              <w:sz w:val="24"/>
                              <w:szCs w:val="24"/>
                            </w:rPr>
                          </m:ctrlPr>
                        </m:sub>
                      </m:sSub>
                      <m:ctrlPr>
                        <w:rPr>
                          <w:rFonts w:ascii="Cambria Math" w:hAnsi="Cambria Math" w:eastAsia="黑体" w:cs="黑体"/>
                          <w:i/>
                          <w:sz w:val="24"/>
                          <w:szCs w:val="24"/>
                        </w:rPr>
                      </m:ctrlPr>
                    </m:den>
                  </m:f>
                  <m:ctrlPr>
                    <w:rPr>
                      <w:rFonts w:ascii="Cambria Math" w:hAnsi="Cambria Math" w:eastAsia="黑体" w:cs="黑体"/>
                      <w:i/>
                      <w:sz w:val="24"/>
                      <w:szCs w:val="24"/>
                    </w:rPr>
                  </m:ctrlPr>
                </m:e>
              </m:nary>
              <m:r>
                <m:rPr/>
                <w:rPr>
                  <w:rFonts w:ascii="Cambria Math" w:hAnsi="黑体" w:eastAsia="黑体" w:cs="黑体"/>
                  <w:sz w:val="24"/>
                  <w:szCs w:val="24"/>
                </w:rPr>
                <m:t>)+</m:t>
              </m:r>
              <m:nary>
                <m:naryPr>
                  <m:chr m:val="∑"/>
                  <m:ctrlPr>
                    <w:rPr>
                      <w:rFonts w:ascii="Cambria Math" w:hAnsi="黑体" w:eastAsia="黑体" w:cs="黑体"/>
                      <w:i/>
                      <w:sz w:val="24"/>
                      <w:szCs w:val="24"/>
                    </w:rPr>
                  </m:ctrlPr>
                </m:naryPr>
                <m:sub>
                  <m:r>
                    <m:rPr/>
                    <w:rPr>
                      <w:rFonts w:ascii="Cambria Math" w:hAnsi="黑体" w:eastAsia="黑体" w:cs="黑体"/>
                      <w:sz w:val="24"/>
                      <w:szCs w:val="24"/>
                    </w:rPr>
                    <m:t>p=1</m:t>
                  </m:r>
                  <m:ctrlPr>
                    <w:rPr>
                      <w:rFonts w:ascii="Cambria Math" w:hAnsi="黑体" w:eastAsia="黑体" w:cs="黑体"/>
                      <w:i/>
                      <w:sz w:val="24"/>
                      <w:szCs w:val="24"/>
                    </w:rPr>
                  </m:ctrlPr>
                </m:sub>
                <m:sup>
                  <m:r>
                    <m:rPr/>
                    <w:rPr>
                      <w:rFonts w:ascii="Cambria Math" w:hAnsi="黑体" w:eastAsia="黑体" w:cs="黑体"/>
                      <w:sz w:val="24"/>
                      <w:szCs w:val="24"/>
                    </w:rPr>
                    <m:t>3</m:t>
                  </m:r>
                  <m:ctrlPr>
                    <w:rPr>
                      <w:rFonts w:ascii="Cambria Math" w:hAnsi="黑体" w:eastAsia="黑体" w:cs="黑体"/>
                      <w:i/>
                      <w:sz w:val="24"/>
                      <w:szCs w:val="24"/>
                    </w:rPr>
                  </m:ctrlPr>
                </m:sup>
                <m:e>
                  <m:f>
                    <m:fPr>
                      <m:ctrlPr>
                        <w:rPr>
                          <w:rFonts w:ascii="Cambria Math" w:hAnsi="黑体" w:eastAsia="黑体" w:cs="黑体"/>
                          <w:i/>
                          <w:sz w:val="24"/>
                          <w:szCs w:val="24"/>
                        </w:rPr>
                      </m:ctrlPr>
                    </m:fPr>
                    <m:num>
                      <m:r>
                        <m:rPr/>
                        <w:rPr>
                          <w:rFonts w:ascii="Cambria Math" w:hAnsi="黑体" w:eastAsia="黑体" w:cs="黑体"/>
                          <w:sz w:val="24"/>
                          <w:szCs w:val="24"/>
                        </w:rPr>
                        <m:t>M</m:t>
                      </m:r>
                      <m:sSub>
                        <m:sSubPr>
                          <m:ctrlPr>
                            <w:rPr>
                              <w:rFonts w:ascii="Cambria Math" w:hAnsi="黑体" w:eastAsia="黑体" w:cs="黑体"/>
                              <w:i/>
                              <w:sz w:val="24"/>
                              <w:szCs w:val="24"/>
                            </w:rPr>
                          </m:ctrlPr>
                        </m:sSubPr>
                        <m:e>
                          <m:r>
                            <m:rPr/>
                            <w:rPr>
                              <w:rFonts w:ascii="Cambria Math" w:hAnsi="黑体" w:eastAsia="黑体" w:cs="黑体"/>
                              <w:sz w:val="24"/>
                              <w:szCs w:val="24"/>
                            </w:rPr>
                            <m:t>G</m:t>
                          </m:r>
                          <m:ctrlPr>
                            <w:rPr>
                              <w:rFonts w:ascii="Cambria Math" w:hAnsi="黑体" w:eastAsia="黑体" w:cs="黑体"/>
                              <w:i/>
                              <w:sz w:val="24"/>
                              <w:szCs w:val="24"/>
                            </w:rPr>
                          </m:ctrlPr>
                        </m:e>
                        <m:sub>
                          <m:r>
                            <m:rPr/>
                            <w:rPr>
                              <w:rFonts w:ascii="Cambria Math" w:hAnsi="黑体" w:eastAsia="黑体" w:cs="黑体"/>
                              <w:sz w:val="24"/>
                              <w:szCs w:val="24"/>
                            </w:rPr>
                            <m:t>p</m:t>
                          </m:r>
                          <m:ctrlPr>
                            <w:rPr>
                              <w:rFonts w:ascii="Cambria Math" w:hAnsi="黑体" w:eastAsia="黑体" w:cs="黑体"/>
                              <w:i/>
                              <w:sz w:val="24"/>
                              <w:szCs w:val="24"/>
                            </w:rPr>
                          </m:ctrlPr>
                        </m:sub>
                      </m:sSub>
                      <m:ctrlPr>
                        <w:rPr>
                          <w:rFonts w:ascii="Cambria Math" w:hAnsi="黑体" w:eastAsia="黑体" w:cs="黑体"/>
                          <w:i/>
                          <w:sz w:val="24"/>
                          <w:szCs w:val="24"/>
                        </w:rPr>
                      </m:ctrlPr>
                    </m:num>
                    <m:den>
                      <m:r>
                        <m:rPr/>
                        <w:rPr>
                          <w:rFonts w:hint="eastAsia" w:ascii="Cambria Math" w:hAnsi="黑体" w:eastAsia="黑体" w:cs="黑体"/>
                          <w:sz w:val="24"/>
                          <w:szCs w:val="24"/>
                        </w:rPr>
                        <m:t>M</m:t>
                      </m:r>
                      <m:sSub>
                        <m:sSubPr>
                          <m:ctrlPr>
                            <w:rPr>
                              <w:rFonts w:ascii="Cambria Math" w:hAnsi="黑体" w:eastAsia="黑体" w:cs="黑体"/>
                              <w:i/>
                              <w:sz w:val="24"/>
                              <w:szCs w:val="24"/>
                            </w:rPr>
                          </m:ctrlPr>
                        </m:sSubPr>
                        <m:e>
                          <m:r>
                            <m:rPr/>
                            <w:rPr>
                              <w:rFonts w:ascii="Cambria Math" w:hAnsi="黑体" w:eastAsia="黑体" w:cs="黑体"/>
                              <w:sz w:val="24"/>
                              <w:szCs w:val="24"/>
                            </w:rPr>
                            <m:t>G</m:t>
                          </m:r>
                          <m:ctrlPr>
                            <w:rPr>
                              <w:rFonts w:ascii="Cambria Math" w:hAnsi="黑体" w:eastAsia="黑体" w:cs="黑体"/>
                              <w:i/>
                              <w:sz w:val="24"/>
                              <w:szCs w:val="24"/>
                            </w:rPr>
                          </m:ctrlPr>
                        </m:e>
                        <m:sub>
                          <m:r>
                            <m:rPr/>
                            <w:rPr>
                              <w:rFonts w:ascii="Cambria Math" w:hAnsi="黑体" w:eastAsia="黑体" w:cs="黑体"/>
                              <w:sz w:val="24"/>
                              <w:szCs w:val="24"/>
                            </w:rPr>
                            <m:t>bp</m:t>
                          </m:r>
                          <m:ctrlPr>
                            <w:rPr>
                              <w:rFonts w:ascii="Cambria Math" w:hAnsi="黑体" w:eastAsia="黑体" w:cs="黑体"/>
                              <w:i/>
                              <w:sz w:val="24"/>
                              <w:szCs w:val="24"/>
                            </w:rPr>
                          </m:ctrlPr>
                        </m:sub>
                      </m:sSub>
                      <m:ctrlPr>
                        <w:rPr>
                          <w:rFonts w:ascii="Cambria Math" w:hAnsi="Cambria Math" w:eastAsia="黑体" w:cs="黑体"/>
                          <w:i/>
                          <w:sz w:val="24"/>
                          <w:szCs w:val="24"/>
                        </w:rPr>
                      </m:ctrlPr>
                    </m:den>
                  </m:f>
                  <m:ctrlPr>
                    <w:rPr>
                      <w:rFonts w:ascii="Cambria Math" w:hAnsi="Cambria Math" w:eastAsia="黑体" w:cs="黑体"/>
                      <w:i/>
                      <w:sz w:val="24"/>
                      <w:szCs w:val="24"/>
                    </w:rPr>
                  </m:ctrlPr>
                </m:e>
              </m:nary>
              <m:ctrlPr>
                <w:rPr>
                  <w:rFonts w:ascii="Cambria Math" w:hAnsi="Cambria Math" w:eastAsia="黑体" w:cs="黑体"/>
                  <w:i/>
                  <w:sz w:val="24"/>
                  <w:szCs w:val="24"/>
                </w:rPr>
              </m:ctrlPr>
            </m:e>
          </m:d>
          <m:r>
            <m:rPr/>
            <w:rPr>
              <w:rFonts w:ascii="Cambria Math" w:hAnsi="黑体" w:eastAsia="黑体" w:cs="黑体"/>
              <w:sz w:val="24"/>
              <w:szCs w:val="24"/>
            </w:rPr>
            <m:t>×100</m:t>
          </m:r>
        </m:oMath>
      </m:oMathPara>
    </w:p>
    <w:p w14:paraId="11534B0F">
      <w:pPr>
        <w:pStyle w:val="22"/>
        <w:ind w:firstLine="640"/>
        <w:rPr>
          <w:rFonts w:ascii="Times New Roman" w:eastAsia="仿宋_GB2312"/>
          <w:sz w:val="32"/>
          <w:szCs w:val="32"/>
        </w:rPr>
      </w:pPr>
      <w:r>
        <w:rPr>
          <w:rFonts w:ascii="Times New Roman" w:eastAsia="仿宋_GB2312"/>
          <w:sz w:val="32"/>
          <w:szCs w:val="32"/>
        </w:rPr>
        <w:t>式中：</w:t>
      </w:r>
    </w:p>
    <w:p w14:paraId="2C18EC8B">
      <w:pPr>
        <w:pStyle w:val="22"/>
        <w:ind w:firstLine="560"/>
        <w:rPr>
          <w:rFonts w:ascii="Times New Roman" w:eastAsia="仿宋_GB2312"/>
          <w:sz w:val="32"/>
          <w:szCs w:val="32"/>
        </w:rPr>
      </w:pPr>
      <w:r>
        <w:rPr>
          <w:rFonts w:hint="eastAsia" w:ascii="Times New Roman" w:eastAsia="仿宋_GB2312"/>
          <w:i/>
          <w:iCs/>
          <w:position w:val="-6"/>
          <w:sz w:val="28"/>
          <w:szCs w:val="28"/>
        </w:rPr>
        <w:t>GI</w:t>
      </w:r>
      <w:r>
        <w:rPr>
          <w:rFonts w:hint="eastAsia" w:ascii="Times New Roman" w:eastAsia="仿宋_GB2312"/>
          <w:position w:val="-6"/>
          <w:sz w:val="32"/>
          <w:szCs w:val="32"/>
        </w:rPr>
        <w:t>为工业园区绿色指数；</w:t>
      </w:r>
    </w:p>
    <w:p w14:paraId="38BD8B92">
      <w:pPr>
        <w:pStyle w:val="22"/>
        <w:ind w:firstLine="560"/>
        <w:rPr>
          <w:rFonts w:ascii="Times New Roman" w:eastAsia="仿宋_GB2312"/>
          <w:sz w:val="32"/>
          <w:szCs w:val="32"/>
        </w:rPr>
      </w:pPr>
      <m:oMath>
        <m:r>
          <m:rPr/>
          <w:rPr>
            <w:rFonts w:ascii="Cambria Math" w:eastAsia="仿宋_GB2312"/>
            <w:sz w:val="28"/>
            <w:szCs w:val="28"/>
          </w:rPr>
          <m:t>E</m:t>
        </m:r>
        <m:sSub>
          <m:sSubPr>
            <m:ctrlPr>
              <w:rPr>
                <w:rFonts w:ascii="Cambria Math" w:eastAsia="仿宋_GB2312"/>
                <w:i/>
                <w:sz w:val="28"/>
                <w:szCs w:val="28"/>
              </w:rPr>
            </m:ctrlPr>
          </m:sSubPr>
          <m:e>
            <m:r>
              <m:rPr/>
              <w:rPr>
                <w:rFonts w:ascii="Cambria Math" w:eastAsia="仿宋_GB2312"/>
                <w:sz w:val="28"/>
                <w:szCs w:val="28"/>
              </w:rPr>
              <m:t>G</m:t>
            </m:r>
            <m:ctrlPr>
              <w:rPr>
                <w:rFonts w:ascii="Cambria Math" w:eastAsia="仿宋_GB2312"/>
                <w:i/>
                <w:sz w:val="28"/>
                <w:szCs w:val="28"/>
              </w:rPr>
            </m:ctrlPr>
          </m:e>
          <m:sub>
            <m:r>
              <m:rPr/>
              <w:rPr>
                <w:rFonts w:ascii="Cambria Math" w:eastAsia="仿宋_GB2312"/>
                <w:sz w:val="28"/>
                <w:szCs w:val="28"/>
              </w:rPr>
              <m:t>i</m:t>
            </m:r>
            <m:ctrlPr>
              <w:rPr>
                <w:rFonts w:ascii="Cambria Math" w:eastAsia="仿宋_GB2312"/>
                <w:i/>
                <w:sz w:val="28"/>
                <w:szCs w:val="28"/>
              </w:rPr>
            </m:ctrlPr>
          </m:sub>
        </m:sSub>
      </m:oMath>
      <w:r>
        <w:rPr>
          <w:rFonts w:ascii="Times New Roman" w:eastAsia="仿宋_GB2312"/>
          <w:sz w:val="32"/>
          <w:szCs w:val="32"/>
        </w:rPr>
        <w:t>为第</w:t>
      </w:r>
      <m:oMath>
        <m:r>
          <m:rPr/>
          <w:rPr>
            <w:rFonts w:ascii="Cambria Math" w:eastAsia="仿宋_GB2312"/>
            <w:sz w:val="28"/>
            <w:szCs w:val="28"/>
          </w:rPr>
          <m:t>i</m:t>
        </m:r>
      </m:oMath>
      <w:r>
        <w:rPr>
          <w:rFonts w:ascii="Times New Roman" w:eastAsia="仿宋_GB2312"/>
          <w:sz w:val="32"/>
          <w:szCs w:val="32"/>
        </w:rPr>
        <w:t>项能源利用绿色化指标值；</w:t>
      </w:r>
      <m:oMath>
        <m:r>
          <m:rPr/>
          <w:rPr>
            <w:rFonts w:ascii="Cambria Math" w:eastAsia="仿宋_GB2312"/>
            <w:sz w:val="28"/>
            <w:szCs w:val="28"/>
          </w:rPr>
          <m:t>E</m:t>
        </m:r>
        <m:sSub>
          <m:sSubPr>
            <m:ctrlPr>
              <w:rPr>
                <w:rFonts w:ascii="Cambria Math" w:eastAsia="仿宋_GB2312"/>
                <w:i/>
                <w:sz w:val="28"/>
                <w:szCs w:val="28"/>
              </w:rPr>
            </m:ctrlPr>
          </m:sSubPr>
          <m:e>
            <m:r>
              <m:rPr/>
              <w:rPr>
                <w:rFonts w:ascii="Cambria Math" w:eastAsia="仿宋_GB2312"/>
                <w:sz w:val="28"/>
                <w:szCs w:val="28"/>
              </w:rPr>
              <m:t>G</m:t>
            </m:r>
            <m:ctrlPr>
              <w:rPr>
                <w:rFonts w:ascii="Cambria Math" w:eastAsia="仿宋_GB2312"/>
                <w:i/>
                <w:sz w:val="28"/>
                <w:szCs w:val="28"/>
              </w:rPr>
            </m:ctrlPr>
          </m:e>
          <m:sub>
            <m:r>
              <m:rPr/>
              <w:rPr>
                <w:rFonts w:ascii="Cambria Math" w:eastAsia="仿宋_GB2312"/>
                <w:sz w:val="28"/>
                <w:szCs w:val="28"/>
              </w:rPr>
              <m:t>bi</m:t>
            </m:r>
            <m:ctrlPr>
              <w:rPr>
                <w:rFonts w:ascii="Cambria Math" w:eastAsia="仿宋_GB2312"/>
                <w:i/>
                <w:sz w:val="28"/>
                <w:szCs w:val="28"/>
              </w:rPr>
            </m:ctrlPr>
          </m:sub>
        </m:sSub>
      </m:oMath>
      <w:r>
        <w:rPr>
          <w:rFonts w:ascii="Times New Roman" w:eastAsia="仿宋_GB2312"/>
          <w:sz w:val="32"/>
          <w:szCs w:val="32"/>
        </w:rPr>
        <w:t>为第</w:t>
      </w:r>
      <m:oMath>
        <m:r>
          <m:rPr/>
          <w:rPr>
            <w:rFonts w:ascii="Cambria Math" w:eastAsia="仿宋_GB2312"/>
            <w:sz w:val="28"/>
            <w:szCs w:val="28"/>
          </w:rPr>
          <m:t>i</m:t>
        </m:r>
      </m:oMath>
      <w:r>
        <w:rPr>
          <w:rFonts w:ascii="Times New Roman" w:eastAsia="仿宋_GB2312"/>
          <w:sz w:val="32"/>
          <w:szCs w:val="32"/>
        </w:rPr>
        <w:t>项能源利用绿色指标引领值；</w:t>
      </w:r>
    </w:p>
    <w:p w14:paraId="3ECD926D">
      <w:pPr>
        <w:pStyle w:val="22"/>
        <w:ind w:firstLine="560"/>
        <w:rPr>
          <w:rFonts w:ascii="Times New Roman" w:eastAsia="仿宋_GB2312"/>
          <w:sz w:val="32"/>
          <w:szCs w:val="32"/>
        </w:rPr>
      </w:pPr>
      <m:oMath>
        <m:r>
          <m:rPr/>
          <w:rPr>
            <w:rFonts w:ascii="Cambria Math" w:eastAsia="仿宋_GB2312"/>
            <w:sz w:val="28"/>
            <w:szCs w:val="28"/>
          </w:rPr>
          <m:t>R</m:t>
        </m:r>
        <m:sSub>
          <m:sSubPr>
            <m:ctrlPr>
              <w:rPr>
                <w:rFonts w:ascii="Cambria Math" w:eastAsia="仿宋_GB2312"/>
                <w:i/>
                <w:sz w:val="28"/>
                <w:szCs w:val="28"/>
              </w:rPr>
            </m:ctrlPr>
          </m:sSubPr>
          <m:e>
            <m:r>
              <m:rPr/>
              <w:rPr>
                <w:rFonts w:ascii="Cambria Math" w:eastAsia="仿宋_GB2312"/>
                <w:sz w:val="28"/>
                <w:szCs w:val="28"/>
              </w:rPr>
              <m:t>G</m:t>
            </m:r>
            <m:ctrlPr>
              <w:rPr>
                <w:rFonts w:ascii="Cambria Math" w:eastAsia="仿宋_GB2312"/>
                <w:i/>
                <w:sz w:val="28"/>
                <w:szCs w:val="28"/>
              </w:rPr>
            </m:ctrlPr>
          </m:e>
          <m:sub>
            <m:r>
              <m:rPr/>
              <w:rPr>
                <w:rFonts w:hint="eastAsia" w:ascii="Cambria Math" w:eastAsia="仿宋_GB2312"/>
                <w:sz w:val="28"/>
                <w:szCs w:val="28"/>
              </w:rPr>
              <m:t>j</m:t>
            </m:r>
            <m:ctrlPr>
              <w:rPr>
                <w:rFonts w:ascii="Cambria Math" w:eastAsia="仿宋_GB2312"/>
                <w:i/>
                <w:sz w:val="28"/>
                <w:szCs w:val="28"/>
              </w:rPr>
            </m:ctrlPr>
          </m:sub>
        </m:sSub>
      </m:oMath>
      <w:r>
        <w:rPr>
          <w:rFonts w:ascii="Times New Roman" w:eastAsia="仿宋_GB2312"/>
          <w:sz w:val="32"/>
          <w:szCs w:val="32"/>
        </w:rPr>
        <w:t>为第</w:t>
      </w:r>
      <m:oMath>
        <m:r>
          <m:rPr/>
          <w:rPr>
            <w:rFonts w:hint="eastAsia" w:ascii="Cambria Math" w:hAnsi="Cambria Math" w:eastAsia="仿宋_GB2312"/>
            <w:sz w:val="28"/>
            <w:szCs w:val="28"/>
          </w:rPr>
          <m:t>j</m:t>
        </m:r>
      </m:oMath>
      <w:r>
        <w:rPr>
          <w:rFonts w:ascii="Times New Roman" w:eastAsia="仿宋_GB2312"/>
          <w:sz w:val="32"/>
          <w:szCs w:val="32"/>
        </w:rPr>
        <w:t>项资源利用绿色化指标值，</w:t>
      </w:r>
      <m:oMath>
        <m:r>
          <m:rPr/>
          <w:rPr>
            <w:rFonts w:ascii="Cambria Math" w:eastAsia="仿宋_GB2312"/>
            <w:sz w:val="28"/>
            <w:szCs w:val="28"/>
          </w:rPr>
          <m:t>R</m:t>
        </m:r>
        <m:sSub>
          <m:sSubPr>
            <m:ctrlPr>
              <w:rPr>
                <w:rFonts w:ascii="Cambria Math" w:eastAsia="仿宋_GB2312"/>
                <w:i/>
                <w:sz w:val="28"/>
                <w:szCs w:val="28"/>
              </w:rPr>
            </m:ctrlPr>
          </m:sSubPr>
          <m:e>
            <m:r>
              <m:rPr/>
              <w:rPr>
                <w:rFonts w:ascii="Cambria Math" w:eastAsia="仿宋_GB2312"/>
                <w:sz w:val="28"/>
                <w:szCs w:val="28"/>
              </w:rPr>
              <m:t>G</m:t>
            </m:r>
            <m:ctrlPr>
              <w:rPr>
                <w:rFonts w:ascii="Cambria Math" w:eastAsia="仿宋_GB2312"/>
                <w:i/>
                <w:sz w:val="28"/>
                <w:szCs w:val="28"/>
              </w:rPr>
            </m:ctrlPr>
          </m:e>
          <m:sub>
            <m:r>
              <m:rPr/>
              <w:rPr>
                <w:rFonts w:ascii="Cambria Math" w:eastAsia="仿宋_GB2312"/>
                <w:sz w:val="28"/>
                <w:szCs w:val="28"/>
              </w:rPr>
              <m:t>b</m:t>
            </m:r>
            <m:r>
              <m:rPr/>
              <w:rPr>
                <w:rFonts w:hint="eastAsia" w:ascii="Cambria Math" w:eastAsia="仿宋_GB2312"/>
                <w:sz w:val="28"/>
                <w:szCs w:val="28"/>
              </w:rPr>
              <m:t>j</m:t>
            </m:r>
            <m:ctrlPr>
              <w:rPr>
                <w:rFonts w:ascii="Cambria Math" w:eastAsia="仿宋_GB2312"/>
                <w:i/>
                <w:sz w:val="28"/>
                <w:szCs w:val="28"/>
              </w:rPr>
            </m:ctrlPr>
          </m:sub>
        </m:sSub>
      </m:oMath>
      <w:r>
        <w:rPr>
          <w:rFonts w:ascii="Times New Roman" w:eastAsia="仿宋_GB2312"/>
          <w:sz w:val="32"/>
          <w:szCs w:val="32"/>
        </w:rPr>
        <w:t>为第</w:t>
      </w:r>
      <m:oMath>
        <m:r>
          <m:rPr/>
          <w:rPr>
            <w:rFonts w:hint="eastAsia" w:ascii="Cambria Math" w:hAnsi="Cambria Math" w:eastAsia="仿宋_GB2312"/>
            <w:sz w:val="28"/>
            <w:szCs w:val="28"/>
          </w:rPr>
          <m:t>j</m:t>
        </m:r>
      </m:oMath>
      <w:r>
        <w:rPr>
          <w:rFonts w:ascii="Times New Roman" w:eastAsia="仿宋_GB2312"/>
          <w:sz w:val="32"/>
          <w:szCs w:val="32"/>
        </w:rPr>
        <w:t>项资源利用绿色指标引领值；</w:t>
      </w:r>
    </w:p>
    <w:p w14:paraId="5E0383D9">
      <w:pPr>
        <w:pStyle w:val="22"/>
        <w:ind w:firstLine="560"/>
        <w:rPr>
          <w:rFonts w:ascii="Times New Roman" w:eastAsia="仿宋_GB2312"/>
          <w:sz w:val="32"/>
          <w:szCs w:val="32"/>
        </w:rPr>
      </w:pPr>
      <m:oMath>
        <m:r>
          <m:rPr/>
          <w:rPr>
            <w:rFonts w:ascii="Cambria Math" w:eastAsia="仿宋_GB2312"/>
            <w:sz w:val="28"/>
            <w:szCs w:val="28"/>
          </w:rPr>
          <m:t>I</m:t>
        </m:r>
        <m:sSub>
          <m:sSubPr>
            <m:ctrlPr>
              <w:rPr>
                <w:rFonts w:ascii="Cambria Math" w:eastAsia="仿宋_GB2312"/>
                <w:i/>
                <w:sz w:val="28"/>
                <w:szCs w:val="28"/>
              </w:rPr>
            </m:ctrlPr>
          </m:sSubPr>
          <m:e>
            <m:r>
              <m:rPr/>
              <w:rPr>
                <w:rFonts w:ascii="Cambria Math" w:eastAsia="仿宋_GB2312"/>
                <w:sz w:val="28"/>
                <w:szCs w:val="28"/>
              </w:rPr>
              <m:t>G</m:t>
            </m:r>
            <m:ctrlPr>
              <w:rPr>
                <w:rFonts w:ascii="Cambria Math" w:eastAsia="仿宋_GB2312"/>
                <w:i/>
                <w:sz w:val="28"/>
                <w:szCs w:val="28"/>
              </w:rPr>
            </m:ctrlPr>
          </m:e>
          <m:sub>
            <m:r>
              <m:rPr/>
              <w:rPr>
                <w:rFonts w:hint="eastAsia" w:ascii="Cambria Math" w:eastAsia="仿宋_GB2312"/>
                <w:sz w:val="28"/>
                <w:szCs w:val="28"/>
              </w:rPr>
              <m:t>k</m:t>
            </m:r>
            <m:ctrlPr>
              <w:rPr>
                <w:rFonts w:ascii="Cambria Math" w:eastAsia="仿宋_GB2312"/>
                <w:i/>
                <w:sz w:val="28"/>
                <w:szCs w:val="28"/>
              </w:rPr>
            </m:ctrlPr>
          </m:sub>
        </m:sSub>
      </m:oMath>
      <w:r>
        <w:rPr>
          <w:rFonts w:ascii="Times New Roman" w:eastAsia="仿宋_GB2312"/>
          <w:sz w:val="32"/>
          <w:szCs w:val="32"/>
        </w:rPr>
        <w:t>为第</w:t>
      </w:r>
      <m:oMath>
        <m:r>
          <m:rPr/>
          <w:rPr>
            <w:rFonts w:hint="eastAsia" w:ascii="Cambria Math" w:hAnsi="Cambria Math" w:eastAsia="仿宋_GB2312"/>
            <w:sz w:val="28"/>
            <w:szCs w:val="28"/>
          </w:rPr>
          <m:t>k</m:t>
        </m:r>
      </m:oMath>
      <w:r>
        <w:rPr>
          <w:rFonts w:ascii="Times New Roman" w:eastAsia="仿宋_GB2312"/>
          <w:sz w:val="32"/>
          <w:szCs w:val="32"/>
        </w:rPr>
        <w:t>项基础设施绿色化指标值，</w:t>
      </w:r>
      <m:oMath>
        <m:r>
          <m:rPr/>
          <w:rPr>
            <w:rFonts w:ascii="Cambria Math" w:eastAsia="仿宋_GB2312"/>
            <w:sz w:val="28"/>
            <w:szCs w:val="28"/>
          </w:rPr>
          <m:t>I</m:t>
        </m:r>
        <m:sSub>
          <m:sSubPr>
            <m:ctrlPr>
              <w:rPr>
                <w:rFonts w:ascii="Cambria Math" w:eastAsia="仿宋_GB2312"/>
                <w:i/>
                <w:sz w:val="28"/>
                <w:szCs w:val="28"/>
              </w:rPr>
            </m:ctrlPr>
          </m:sSubPr>
          <m:e>
            <m:r>
              <m:rPr/>
              <w:rPr>
                <w:rFonts w:ascii="Cambria Math" w:eastAsia="仿宋_GB2312"/>
                <w:sz w:val="28"/>
                <w:szCs w:val="28"/>
              </w:rPr>
              <m:t>G</m:t>
            </m:r>
            <m:ctrlPr>
              <w:rPr>
                <w:rFonts w:ascii="Cambria Math" w:eastAsia="仿宋_GB2312"/>
                <w:i/>
                <w:sz w:val="28"/>
                <w:szCs w:val="28"/>
              </w:rPr>
            </m:ctrlPr>
          </m:e>
          <m:sub>
            <m:r>
              <m:rPr/>
              <w:rPr>
                <w:rFonts w:ascii="Cambria Math" w:eastAsia="仿宋_GB2312"/>
                <w:sz w:val="28"/>
                <w:szCs w:val="28"/>
              </w:rPr>
              <m:t>b</m:t>
            </m:r>
            <m:r>
              <m:rPr/>
              <w:rPr>
                <w:rFonts w:hint="eastAsia" w:ascii="Cambria Math" w:eastAsia="仿宋_GB2312"/>
                <w:sz w:val="28"/>
                <w:szCs w:val="28"/>
              </w:rPr>
              <m:t>k</m:t>
            </m:r>
            <m:ctrlPr>
              <w:rPr>
                <w:rFonts w:ascii="Cambria Math" w:eastAsia="仿宋_GB2312"/>
                <w:i/>
                <w:sz w:val="28"/>
                <w:szCs w:val="28"/>
              </w:rPr>
            </m:ctrlPr>
          </m:sub>
        </m:sSub>
      </m:oMath>
      <w:r>
        <w:rPr>
          <w:rFonts w:ascii="Times New Roman" w:eastAsia="仿宋_GB2312"/>
          <w:sz w:val="32"/>
          <w:szCs w:val="32"/>
        </w:rPr>
        <w:t>为第</w:t>
      </w:r>
      <m:oMath>
        <m:r>
          <m:rPr/>
          <w:rPr>
            <w:rFonts w:hint="eastAsia" w:ascii="Cambria Math" w:hAnsi="Cambria Math" w:eastAsia="仿宋_GB2312"/>
            <w:sz w:val="28"/>
            <w:szCs w:val="28"/>
          </w:rPr>
          <m:t>k</m:t>
        </m:r>
      </m:oMath>
      <w:r>
        <w:rPr>
          <w:rFonts w:ascii="Times New Roman" w:eastAsia="仿宋_GB2312"/>
          <w:sz w:val="32"/>
          <w:szCs w:val="32"/>
        </w:rPr>
        <w:t>项基础设施绿色指标引领值；</w:t>
      </w:r>
    </w:p>
    <w:p w14:paraId="177A5A7D">
      <w:pPr>
        <w:pStyle w:val="22"/>
        <w:ind w:firstLine="560"/>
        <w:rPr>
          <w:rFonts w:ascii="Times New Roman" w:eastAsia="仿宋_GB2312"/>
          <w:sz w:val="32"/>
          <w:szCs w:val="32"/>
        </w:rPr>
      </w:pPr>
      <m:oMath>
        <m:r>
          <m:rPr/>
          <w:rPr>
            <w:rFonts w:ascii="Cambria Math" w:eastAsia="仿宋_GB2312"/>
            <w:sz w:val="28"/>
            <w:szCs w:val="28"/>
          </w:rPr>
          <m:t>C</m:t>
        </m:r>
        <m:sSub>
          <m:sSubPr>
            <m:ctrlPr>
              <w:rPr>
                <w:rFonts w:ascii="Cambria Math" w:eastAsia="仿宋_GB2312"/>
                <w:i/>
                <w:sz w:val="28"/>
                <w:szCs w:val="28"/>
              </w:rPr>
            </m:ctrlPr>
          </m:sSubPr>
          <m:e>
            <m:r>
              <m:rPr/>
              <w:rPr>
                <w:rFonts w:ascii="Cambria Math" w:eastAsia="仿宋_GB2312"/>
                <w:sz w:val="28"/>
                <w:szCs w:val="28"/>
              </w:rPr>
              <m:t>G</m:t>
            </m:r>
            <m:ctrlPr>
              <w:rPr>
                <w:rFonts w:ascii="Cambria Math" w:eastAsia="仿宋_GB2312"/>
                <w:i/>
                <w:sz w:val="28"/>
                <w:szCs w:val="28"/>
              </w:rPr>
            </m:ctrlPr>
          </m:e>
          <m:sub>
            <m:r>
              <m:rPr/>
              <w:rPr>
                <w:rFonts w:hint="eastAsia" w:ascii="Cambria Math" w:eastAsia="仿宋_GB2312"/>
                <w:sz w:val="28"/>
                <w:szCs w:val="28"/>
              </w:rPr>
              <m:t>f</m:t>
            </m:r>
            <m:ctrlPr>
              <w:rPr>
                <w:rFonts w:ascii="Cambria Math" w:eastAsia="仿宋_GB2312"/>
                <w:i/>
                <w:sz w:val="28"/>
                <w:szCs w:val="28"/>
              </w:rPr>
            </m:ctrlPr>
          </m:sub>
        </m:sSub>
      </m:oMath>
      <w:r>
        <w:rPr>
          <w:rFonts w:ascii="Times New Roman" w:eastAsia="仿宋_GB2312"/>
          <w:sz w:val="32"/>
          <w:szCs w:val="32"/>
        </w:rPr>
        <w:t>为第</w:t>
      </w:r>
      <m:oMath>
        <m:r>
          <m:rPr/>
          <w:rPr>
            <w:rFonts w:hint="eastAsia" w:ascii="Cambria Math" w:hAnsi="Cambria Math" w:eastAsia="仿宋_GB2312"/>
            <w:sz w:val="28"/>
            <w:szCs w:val="28"/>
          </w:rPr>
          <m:t>f</m:t>
        </m:r>
      </m:oMath>
      <w:r>
        <w:rPr>
          <w:rFonts w:ascii="Times New Roman" w:eastAsia="仿宋_GB2312"/>
          <w:sz w:val="32"/>
          <w:szCs w:val="32"/>
        </w:rPr>
        <w:t>项产业绿色化指标值，</w:t>
      </w:r>
      <m:oMath>
        <m:r>
          <m:rPr/>
          <w:rPr>
            <w:rFonts w:ascii="Cambria Math" w:eastAsia="仿宋_GB2312"/>
            <w:sz w:val="28"/>
            <w:szCs w:val="28"/>
          </w:rPr>
          <m:t>C</m:t>
        </m:r>
        <m:sSub>
          <m:sSubPr>
            <m:ctrlPr>
              <w:rPr>
                <w:rFonts w:ascii="Cambria Math" w:eastAsia="仿宋_GB2312"/>
                <w:i/>
                <w:sz w:val="28"/>
                <w:szCs w:val="28"/>
              </w:rPr>
            </m:ctrlPr>
          </m:sSubPr>
          <m:e>
            <m:r>
              <m:rPr/>
              <w:rPr>
                <w:rFonts w:ascii="Cambria Math" w:eastAsia="仿宋_GB2312"/>
                <w:sz w:val="28"/>
                <w:szCs w:val="28"/>
              </w:rPr>
              <m:t>G</m:t>
            </m:r>
            <m:ctrlPr>
              <w:rPr>
                <w:rFonts w:ascii="Cambria Math" w:eastAsia="仿宋_GB2312"/>
                <w:i/>
                <w:sz w:val="28"/>
                <w:szCs w:val="28"/>
              </w:rPr>
            </m:ctrlPr>
          </m:e>
          <m:sub>
            <m:r>
              <m:rPr/>
              <w:rPr>
                <w:rFonts w:ascii="Cambria Math" w:eastAsia="仿宋_GB2312"/>
                <w:sz w:val="28"/>
                <w:szCs w:val="28"/>
              </w:rPr>
              <m:t>b</m:t>
            </m:r>
            <m:r>
              <m:rPr/>
              <w:rPr>
                <w:rFonts w:hint="eastAsia" w:ascii="Cambria Math" w:eastAsia="仿宋_GB2312"/>
                <w:sz w:val="28"/>
                <w:szCs w:val="28"/>
              </w:rPr>
              <m:t>f</m:t>
            </m:r>
            <m:ctrlPr>
              <w:rPr>
                <w:rFonts w:ascii="Cambria Math" w:eastAsia="仿宋_GB2312"/>
                <w:i/>
                <w:sz w:val="28"/>
                <w:szCs w:val="28"/>
              </w:rPr>
            </m:ctrlPr>
          </m:sub>
        </m:sSub>
      </m:oMath>
      <w:r>
        <w:rPr>
          <w:rFonts w:ascii="Times New Roman" w:eastAsia="仿宋_GB2312"/>
          <w:sz w:val="32"/>
          <w:szCs w:val="32"/>
        </w:rPr>
        <w:t>为第</w:t>
      </w:r>
      <m:oMath>
        <m:r>
          <m:rPr/>
          <w:rPr>
            <w:rFonts w:hint="eastAsia" w:ascii="Cambria Math" w:hAnsi="Cambria Math" w:eastAsia="仿宋_GB2312"/>
            <w:sz w:val="28"/>
            <w:szCs w:val="28"/>
          </w:rPr>
          <m:t>f</m:t>
        </m:r>
      </m:oMath>
      <w:r>
        <w:rPr>
          <w:rFonts w:ascii="Times New Roman" w:eastAsia="仿宋_GB2312"/>
          <w:sz w:val="32"/>
          <w:szCs w:val="32"/>
        </w:rPr>
        <w:t>项产业绿色指标引领值；</w:t>
      </w:r>
    </w:p>
    <w:p w14:paraId="4163D143">
      <w:pPr>
        <w:pStyle w:val="22"/>
        <w:ind w:firstLine="560"/>
        <w:rPr>
          <w:rFonts w:ascii="Times New Roman" w:eastAsia="仿宋_GB2312"/>
          <w:sz w:val="32"/>
          <w:szCs w:val="32"/>
        </w:rPr>
      </w:pPr>
      <m:oMath>
        <m:r>
          <m:rPr/>
          <w:rPr>
            <w:rFonts w:ascii="Cambria Math" w:eastAsia="仿宋_GB2312"/>
            <w:sz w:val="28"/>
            <w:szCs w:val="28"/>
          </w:rPr>
          <m:t>H</m:t>
        </m:r>
        <m:sSub>
          <m:sSubPr>
            <m:ctrlPr>
              <w:rPr>
                <w:rFonts w:ascii="Cambria Math" w:eastAsia="仿宋_GB2312"/>
                <w:i/>
                <w:sz w:val="28"/>
                <w:szCs w:val="28"/>
              </w:rPr>
            </m:ctrlPr>
          </m:sSubPr>
          <m:e>
            <m:r>
              <m:rPr/>
              <w:rPr>
                <w:rFonts w:ascii="Cambria Math" w:eastAsia="仿宋_GB2312"/>
                <w:sz w:val="28"/>
                <w:szCs w:val="28"/>
              </w:rPr>
              <m:t>G</m:t>
            </m:r>
            <m:ctrlPr>
              <w:rPr>
                <w:rFonts w:ascii="Cambria Math" w:eastAsia="仿宋_GB2312"/>
                <w:i/>
                <w:sz w:val="28"/>
                <w:szCs w:val="28"/>
              </w:rPr>
            </m:ctrlPr>
          </m:e>
          <m:sub>
            <m:r>
              <m:rPr/>
              <w:rPr>
                <w:rFonts w:hint="eastAsia" w:ascii="Cambria Math" w:eastAsia="仿宋_GB2312"/>
                <w:sz w:val="28"/>
                <w:szCs w:val="28"/>
              </w:rPr>
              <m:t>l</m:t>
            </m:r>
            <m:ctrlPr>
              <w:rPr>
                <w:rFonts w:ascii="Cambria Math" w:eastAsia="仿宋_GB2312"/>
                <w:i/>
                <w:sz w:val="28"/>
                <w:szCs w:val="28"/>
              </w:rPr>
            </m:ctrlPr>
          </m:sub>
        </m:sSub>
      </m:oMath>
      <w:r>
        <w:rPr>
          <w:rFonts w:ascii="Times New Roman" w:eastAsia="仿宋_GB2312"/>
          <w:sz w:val="32"/>
          <w:szCs w:val="32"/>
        </w:rPr>
        <w:t>为第</w:t>
      </w:r>
      <m:oMath>
        <m:r>
          <m:rPr/>
          <w:rPr>
            <w:rFonts w:hint="eastAsia" w:ascii="Cambria Math" w:hAnsi="Cambria Math" w:eastAsia="仿宋_GB2312"/>
            <w:sz w:val="28"/>
            <w:szCs w:val="28"/>
          </w:rPr>
          <m:t>l</m:t>
        </m:r>
      </m:oMath>
      <w:r>
        <w:rPr>
          <w:rFonts w:ascii="Times New Roman" w:eastAsia="仿宋_GB2312"/>
          <w:sz w:val="32"/>
          <w:szCs w:val="32"/>
        </w:rPr>
        <w:t>项生态环境绿色指标值，</w:t>
      </w:r>
      <m:oMath>
        <m:r>
          <m:rPr/>
          <w:rPr>
            <w:rFonts w:ascii="Cambria Math" w:eastAsia="仿宋_GB2312"/>
            <w:sz w:val="28"/>
            <w:szCs w:val="28"/>
          </w:rPr>
          <m:t>H</m:t>
        </m:r>
        <m:sSub>
          <m:sSubPr>
            <m:ctrlPr>
              <w:rPr>
                <w:rFonts w:ascii="Cambria Math" w:eastAsia="仿宋_GB2312"/>
                <w:i/>
                <w:sz w:val="28"/>
                <w:szCs w:val="28"/>
              </w:rPr>
            </m:ctrlPr>
          </m:sSubPr>
          <m:e>
            <m:r>
              <m:rPr/>
              <w:rPr>
                <w:rFonts w:ascii="Cambria Math" w:eastAsia="仿宋_GB2312"/>
                <w:sz w:val="28"/>
                <w:szCs w:val="28"/>
              </w:rPr>
              <m:t>G</m:t>
            </m:r>
            <m:ctrlPr>
              <w:rPr>
                <w:rFonts w:ascii="Cambria Math" w:eastAsia="仿宋_GB2312"/>
                <w:i/>
                <w:sz w:val="28"/>
                <w:szCs w:val="28"/>
              </w:rPr>
            </m:ctrlPr>
          </m:e>
          <m:sub>
            <m:r>
              <m:rPr/>
              <w:rPr>
                <w:rFonts w:ascii="Cambria Math" w:eastAsia="仿宋_GB2312"/>
                <w:sz w:val="28"/>
                <w:szCs w:val="28"/>
              </w:rPr>
              <m:t>b</m:t>
            </m:r>
            <m:r>
              <m:rPr/>
              <w:rPr>
                <w:rFonts w:hint="eastAsia" w:ascii="Cambria Math" w:eastAsia="仿宋_GB2312"/>
                <w:sz w:val="28"/>
                <w:szCs w:val="28"/>
              </w:rPr>
              <m:t>l</m:t>
            </m:r>
            <m:ctrlPr>
              <w:rPr>
                <w:rFonts w:ascii="Cambria Math" w:eastAsia="仿宋_GB2312"/>
                <w:i/>
                <w:sz w:val="28"/>
                <w:szCs w:val="28"/>
              </w:rPr>
            </m:ctrlPr>
          </m:sub>
        </m:sSub>
      </m:oMath>
      <w:r>
        <w:rPr>
          <w:rFonts w:ascii="Times New Roman" w:eastAsia="仿宋_GB2312"/>
          <w:sz w:val="32"/>
          <w:szCs w:val="32"/>
        </w:rPr>
        <w:t>为第</w:t>
      </w:r>
      <m:oMath>
        <m:r>
          <m:rPr/>
          <w:rPr>
            <w:rFonts w:hint="eastAsia" w:ascii="Cambria Math" w:hAnsi="Cambria Math" w:eastAsia="仿宋_GB2312"/>
            <w:sz w:val="28"/>
            <w:szCs w:val="28"/>
          </w:rPr>
          <m:t>l</m:t>
        </m:r>
      </m:oMath>
      <w:r>
        <w:rPr>
          <w:rFonts w:ascii="Times New Roman" w:eastAsia="仿宋_GB2312"/>
          <w:sz w:val="32"/>
          <w:szCs w:val="32"/>
        </w:rPr>
        <w:t>项生态环境绿色指标引领值；</w:t>
      </w:r>
    </w:p>
    <w:p w14:paraId="37D5C133">
      <w:pPr>
        <w:pStyle w:val="22"/>
        <w:ind w:firstLine="560"/>
        <w:rPr>
          <w:rFonts w:ascii="Times New Roman" w:eastAsia="仿宋_GB2312"/>
          <w:sz w:val="32"/>
          <w:szCs w:val="32"/>
        </w:rPr>
      </w:pPr>
      <m:oMath>
        <m:r>
          <m:rPr/>
          <w:rPr>
            <w:rFonts w:ascii="Cambria Math" w:eastAsia="仿宋_GB2312"/>
            <w:sz w:val="28"/>
            <w:szCs w:val="28"/>
          </w:rPr>
          <m:t>M</m:t>
        </m:r>
        <m:sSub>
          <m:sSubPr>
            <m:ctrlPr>
              <w:rPr>
                <w:rFonts w:ascii="Cambria Math" w:eastAsia="仿宋_GB2312"/>
                <w:i/>
                <w:sz w:val="28"/>
                <w:szCs w:val="28"/>
              </w:rPr>
            </m:ctrlPr>
          </m:sSubPr>
          <m:e>
            <m:r>
              <m:rPr/>
              <w:rPr>
                <w:rFonts w:ascii="Cambria Math" w:eastAsia="仿宋_GB2312"/>
                <w:sz w:val="28"/>
                <w:szCs w:val="28"/>
              </w:rPr>
              <m:t>G</m:t>
            </m:r>
            <m:ctrlPr>
              <w:rPr>
                <w:rFonts w:ascii="Cambria Math" w:eastAsia="仿宋_GB2312"/>
                <w:i/>
                <w:sz w:val="28"/>
                <w:szCs w:val="28"/>
              </w:rPr>
            </m:ctrlPr>
          </m:e>
          <m:sub>
            <m:r>
              <m:rPr/>
              <w:rPr>
                <w:rFonts w:hint="eastAsia" w:ascii="Cambria Math" w:eastAsia="仿宋_GB2312"/>
                <w:sz w:val="28"/>
                <w:szCs w:val="28"/>
              </w:rPr>
              <m:t>p</m:t>
            </m:r>
            <m:ctrlPr>
              <w:rPr>
                <w:rFonts w:ascii="Cambria Math" w:eastAsia="仿宋_GB2312"/>
                <w:i/>
                <w:sz w:val="28"/>
                <w:szCs w:val="28"/>
              </w:rPr>
            </m:ctrlPr>
          </m:sub>
        </m:sSub>
      </m:oMath>
      <w:r>
        <w:rPr>
          <w:rFonts w:ascii="Times New Roman" w:eastAsia="仿宋_GB2312"/>
          <w:sz w:val="32"/>
          <w:szCs w:val="32"/>
        </w:rPr>
        <w:t>为第</w:t>
      </w:r>
      <m:oMath>
        <m:r>
          <m:rPr/>
          <w:rPr>
            <w:rFonts w:hint="eastAsia" w:ascii="Cambria Math" w:hAnsi="Cambria Math" w:eastAsia="仿宋_GB2312"/>
            <w:sz w:val="28"/>
            <w:szCs w:val="28"/>
          </w:rPr>
          <m:t>p</m:t>
        </m:r>
      </m:oMath>
      <w:r>
        <w:rPr>
          <w:rFonts w:ascii="Times New Roman" w:eastAsia="仿宋_GB2312"/>
          <w:sz w:val="32"/>
          <w:szCs w:val="32"/>
        </w:rPr>
        <w:t>项运行管理绿色化指标值，</w:t>
      </w:r>
      <m:oMath>
        <m:r>
          <m:rPr/>
          <w:rPr>
            <w:rFonts w:ascii="Cambria Math" w:eastAsia="仿宋_GB2312"/>
            <w:sz w:val="28"/>
            <w:szCs w:val="28"/>
          </w:rPr>
          <m:t>M</m:t>
        </m:r>
        <m:sSub>
          <m:sSubPr>
            <m:ctrlPr>
              <w:rPr>
                <w:rFonts w:ascii="Cambria Math" w:eastAsia="仿宋_GB2312"/>
                <w:i/>
                <w:sz w:val="28"/>
                <w:szCs w:val="28"/>
              </w:rPr>
            </m:ctrlPr>
          </m:sSubPr>
          <m:e>
            <m:r>
              <m:rPr/>
              <w:rPr>
                <w:rFonts w:ascii="Cambria Math" w:eastAsia="仿宋_GB2312"/>
                <w:sz w:val="28"/>
                <w:szCs w:val="28"/>
              </w:rPr>
              <m:t>G</m:t>
            </m:r>
            <m:ctrlPr>
              <w:rPr>
                <w:rFonts w:ascii="Cambria Math" w:eastAsia="仿宋_GB2312"/>
                <w:i/>
                <w:sz w:val="28"/>
                <w:szCs w:val="28"/>
              </w:rPr>
            </m:ctrlPr>
          </m:e>
          <m:sub>
            <m:r>
              <m:rPr/>
              <w:rPr>
                <w:rFonts w:ascii="Cambria Math" w:eastAsia="仿宋_GB2312"/>
                <w:sz w:val="28"/>
                <w:szCs w:val="28"/>
              </w:rPr>
              <m:t>b</m:t>
            </m:r>
            <m:r>
              <m:rPr/>
              <w:rPr>
                <w:rFonts w:hint="eastAsia" w:ascii="Cambria Math" w:eastAsia="仿宋_GB2312"/>
                <w:sz w:val="28"/>
                <w:szCs w:val="28"/>
              </w:rPr>
              <m:t>p</m:t>
            </m:r>
            <m:ctrlPr>
              <w:rPr>
                <w:rFonts w:ascii="Cambria Math" w:eastAsia="仿宋_GB2312"/>
                <w:i/>
                <w:sz w:val="28"/>
                <w:szCs w:val="28"/>
              </w:rPr>
            </m:ctrlPr>
          </m:sub>
        </m:sSub>
      </m:oMath>
      <w:r>
        <w:rPr>
          <w:rFonts w:ascii="Times New Roman" w:eastAsia="仿宋_GB2312"/>
          <w:sz w:val="32"/>
          <w:szCs w:val="32"/>
        </w:rPr>
        <w:t>为第</w:t>
      </w:r>
      <m:oMath>
        <m:r>
          <m:rPr/>
          <w:rPr>
            <w:rFonts w:hint="eastAsia" w:ascii="Cambria Math" w:hAnsi="Cambria Math" w:eastAsia="仿宋_GB2312"/>
            <w:sz w:val="28"/>
            <w:szCs w:val="28"/>
          </w:rPr>
          <m:t>p</m:t>
        </m:r>
      </m:oMath>
      <w:r>
        <w:rPr>
          <w:rFonts w:ascii="Times New Roman" w:eastAsia="仿宋_GB2312"/>
          <w:sz w:val="32"/>
          <w:szCs w:val="32"/>
        </w:rPr>
        <w:t>项运行管理绿色指标引领值。</w:t>
      </w:r>
    </w:p>
    <w:p w14:paraId="309D3E03">
      <w:pPr>
        <w:pStyle w:val="22"/>
        <w:ind w:firstLine="480"/>
        <w:rPr>
          <w:rFonts w:ascii="仿宋" w:hAnsi="仿宋" w:eastAsia="仿宋" w:cs="仿宋"/>
          <w:sz w:val="24"/>
          <w:szCs w:val="24"/>
        </w:rPr>
      </w:pPr>
      <w:r>
        <w:rPr>
          <w:rFonts w:hint="eastAsia" w:ascii="仿宋" w:hAnsi="仿宋" w:eastAsia="仿宋" w:cs="仿宋"/>
          <w:sz w:val="24"/>
          <w:szCs w:val="24"/>
        </w:rPr>
        <w:t>注：正向指标（越大越好的指标）和逆向指标（越小越好的指标）数值的无量纲化分别采用指标值/引领值、引领值/指标值。在全部指标中，单位工业增加值废水排放量和主要污染物弹性系数属于逆向指标，无量纲化方法采用引领值/指标值。</w:t>
      </w:r>
    </w:p>
    <w:p w14:paraId="3F1E8BF5">
      <w:pPr>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二、能源利用化绿色指标（3个必选指标）</w:t>
      </w:r>
    </w:p>
    <w:p w14:paraId="2DB2E299">
      <w:pPr>
        <w:ind w:firstLine="630"/>
        <w:rPr>
          <w:rFonts w:ascii="Times New Roman" w:hAnsi="Times New Roman" w:eastAsia="仿宋_GB2312" w:cs="Times New Roman"/>
          <w:sz w:val="32"/>
          <w:szCs w:val="32"/>
        </w:rPr>
      </w:pPr>
      <w:r>
        <w:rPr>
          <w:rFonts w:ascii="Times New Roman" w:hAnsi="Times New Roman" w:eastAsia="仿宋_GB2312" w:cs="Times New Roman"/>
          <w:sz w:val="32"/>
          <w:szCs w:val="32"/>
        </w:rPr>
        <w:t>能源利用绿色化指标包括能源产出率和可再生能源使用比例、清洁能源使用率3个必选指标。</w:t>
      </w:r>
    </w:p>
    <w:p w14:paraId="73048AB2">
      <w:pPr>
        <w:ind w:firstLine="630"/>
        <w:rPr>
          <w:rFonts w:ascii="楷体" w:hAnsi="楷体" w:eastAsia="楷体" w:cs="楷体"/>
          <w:sz w:val="32"/>
          <w:szCs w:val="32"/>
        </w:rPr>
      </w:pPr>
      <w:r>
        <w:rPr>
          <w:rFonts w:ascii="楷体" w:hAnsi="楷体" w:eastAsia="楷体" w:cs="楷体"/>
          <w:sz w:val="32"/>
          <w:szCs w:val="32"/>
        </w:rPr>
        <w:t>（一）能源产出率（必选）</w:t>
      </w:r>
    </w:p>
    <w:p w14:paraId="042F1352">
      <w:pPr>
        <w:ind w:firstLine="630"/>
        <w:rPr>
          <w:rFonts w:ascii="Times New Roman" w:hAnsi="Times New Roman" w:eastAsia="仿宋" w:cs="Times New Roman"/>
          <w:sz w:val="32"/>
          <w:szCs w:val="32"/>
        </w:rPr>
      </w:pPr>
      <w:r>
        <w:rPr>
          <w:rFonts w:hint="eastAsia" w:ascii="仿宋" w:hAnsi="仿宋" w:eastAsia="仿宋" w:cs="仿宋"/>
          <w:bCs/>
          <w:sz w:val="32"/>
          <w:szCs w:val="32"/>
        </w:rPr>
        <w:t>指标解释</w:t>
      </w:r>
      <w:r>
        <w:rPr>
          <w:rFonts w:hint="eastAsia" w:ascii="仿宋" w:hAnsi="仿宋" w:eastAsia="仿宋" w:cs="仿宋"/>
          <w:sz w:val="32"/>
          <w:szCs w:val="32"/>
        </w:rPr>
        <w:t>：指报告期内园区工业增加值与能源消耗总量的比值，该项指标越大，表明能源产出效率越高。能源主要包括</w:t>
      </w:r>
      <w:r>
        <w:rPr>
          <w:rFonts w:ascii="Times New Roman" w:hAnsi="Times New Roman" w:eastAsia="仿宋" w:cs="Times New Roman"/>
          <w:sz w:val="32"/>
          <w:szCs w:val="32"/>
        </w:rPr>
        <w:t>原煤、原油、天然气、核电、水电、风电等一次能源。工业增加值采用2010年不变价，下同。</w:t>
      </w:r>
    </w:p>
    <w:p w14:paraId="5DF4EAA7">
      <w:pPr>
        <w:ind w:firstLine="640" w:firstLineChars="200"/>
        <w:rPr>
          <w:rFonts w:ascii="Times New Roman" w:hAnsi="Times New Roman" w:eastAsia="仿宋" w:cs="Times New Roman"/>
          <w:sz w:val="32"/>
          <w:szCs w:val="32"/>
        </w:rPr>
      </w:pPr>
      <w:r>
        <w:rPr>
          <w:rFonts w:ascii="Times New Roman" w:hAnsi="Times New Roman" w:eastAsia="仿宋" w:cs="Times New Roman"/>
          <w:bCs/>
          <w:sz w:val="32"/>
          <w:szCs w:val="32"/>
        </w:rPr>
        <w:t>计算公式：</w:t>
      </w:r>
      <w:r>
        <w:rPr>
          <w:rFonts w:ascii="Times New Roman" w:hAnsi="Times New Roman" w:eastAsia="仿宋" w:cs="Times New Roman"/>
          <w:sz w:val="32"/>
          <w:szCs w:val="32"/>
        </w:rPr>
        <w:t>能源产出率=园区工业增加值（万元不变价）/能源综合消耗总量（tce）。</w:t>
      </w:r>
    </w:p>
    <w:p w14:paraId="57456F1A">
      <w:pPr>
        <w:ind w:firstLine="630"/>
        <w:rPr>
          <w:rFonts w:ascii="Times New Roman" w:hAnsi="Times New Roman" w:eastAsia="楷体" w:cs="Times New Roman"/>
          <w:sz w:val="32"/>
          <w:szCs w:val="32"/>
        </w:rPr>
      </w:pPr>
      <w:r>
        <w:rPr>
          <w:rFonts w:ascii="Times New Roman" w:hAnsi="Times New Roman" w:eastAsia="楷体" w:cs="Times New Roman"/>
          <w:sz w:val="32"/>
          <w:szCs w:val="32"/>
        </w:rPr>
        <w:t>（二）可再生能源使用比例（必选）</w:t>
      </w:r>
    </w:p>
    <w:p w14:paraId="4370FA75">
      <w:pPr>
        <w:ind w:firstLine="640" w:firstLineChars="200"/>
        <w:rPr>
          <w:rFonts w:ascii="Times New Roman" w:hAnsi="Times New Roman" w:eastAsia="仿宋" w:cs="Times New Roman"/>
          <w:sz w:val="32"/>
          <w:szCs w:val="32"/>
        </w:rPr>
      </w:pPr>
      <w:r>
        <w:rPr>
          <w:rFonts w:ascii="Times New Roman" w:hAnsi="Times New Roman" w:eastAsia="仿宋" w:cs="Times New Roman"/>
          <w:bCs/>
          <w:sz w:val="32"/>
          <w:szCs w:val="32"/>
        </w:rPr>
        <w:t>指标解释：</w:t>
      </w:r>
      <w:r>
        <w:rPr>
          <w:rFonts w:ascii="Times New Roman" w:hAnsi="Times New Roman" w:eastAsia="仿宋" w:cs="Times New Roman"/>
          <w:sz w:val="32"/>
          <w:szCs w:val="32"/>
        </w:rPr>
        <w:t>园区内工业企业的可再生能源使用量与综合能耗总量的比值。可再生能源包括太阳能、水能、生物质能、地热能、氢能、波浪能等非化石能源。</w:t>
      </w:r>
    </w:p>
    <w:p w14:paraId="0DA67558">
      <w:pPr>
        <w:ind w:firstLine="640" w:firstLineChars="200"/>
        <w:rPr>
          <w:rFonts w:ascii="Times New Roman" w:hAnsi="Times New Roman" w:eastAsia="仿宋" w:cs="Times New Roman"/>
          <w:sz w:val="32"/>
          <w:szCs w:val="32"/>
        </w:rPr>
      </w:pPr>
      <w:r>
        <w:rPr>
          <w:rFonts w:ascii="Times New Roman" w:hAnsi="Times New Roman" w:eastAsia="仿宋" w:cs="Times New Roman"/>
          <w:bCs/>
          <w:sz w:val="32"/>
          <w:szCs w:val="32"/>
        </w:rPr>
        <w:t>计算公式：</w:t>
      </w:r>
      <w:r>
        <w:rPr>
          <w:rFonts w:ascii="Times New Roman" w:hAnsi="Times New Roman" w:eastAsia="仿宋" w:cs="Times New Roman"/>
          <w:sz w:val="32"/>
          <w:szCs w:val="32"/>
        </w:rPr>
        <w:t>可再生能源使用比例（%）=工业企业可再生能源使用量（tce）/工业企业综合能耗总量（tce）x100%。</w:t>
      </w:r>
    </w:p>
    <w:p w14:paraId="5122F038">
      <w:pPr>
        <w:ind w:firstLine="630"/>
        <w:rPr>
          <w:rFonts w:ascii="Times New Roman" w:hAnsi="Times New Roman" w:eastAsia="楷体" w:cs="Times New Roman"/>
          <w:sz w:val="32"/>
          <w:szCs w:val="32"/>
        </w:rPr>
      </w:pPr>
      <w:r>
        <w:rPr>
          <w:rFonts w:ascii="Times New Roman" w:hAnsi="Times New Roman" w:eastAsia="楷体" w:cs="Times New Roman"/>
          <w:sz w:val="32"/>
          <w:szCs w:val="32"/>
        </w:rPr>
        <w:t>（三）清洁能源使用率（必选）</w:t>
      </w:r>
    </w:p>
    <w:p w14:paraId="2299DC86">
      <w:pPr>
        <w:ind w:firstLine="640" w:firstLineChars="200"/>
        <w:rPr>
          <w:rFonts w:ascii="Times New Roman" w:hAnsi="Times New Roman" w:eastAsia="仿宋" w:cs="Times New Roman"/>
          <w:sz w:val="32"/>
          <w:szCs w:val="32"/>
        </w:rPr>
      </w:pPr>
      <w:r>
        <w:rPr>
          <w:rFonts w:ascii="Times New Roman" w:hAnsi="Times New Roman" w:eastAsia="仿宋" w:cs="Times New Roman"/>
          <w:bCs/>
          <w:sz w:val="32"/>
          <w:szCs w:val="32"/>
        </w:rPr>
        <w:t>指标解释</w:t>
      </w:r>
      <w:r>
        <w:rPr>
          <w:rFonts w:ascii="Times New Roman" w:hAnsi="Times New Roman" w:eastAsia="仿宋" w:cs="Times New Roman"/>
          <w:sz w:val="32"/>
          <w:szCs w:val="32"/>
        </w:rPr>
        <w:t>：指清洁能源使用量与园区终端能源消费总量之比，能源使用量均按标煤计。其中，清洁能源包括用作燃烧的天然气、焦炉煤气、其他煤气、炼厂干气、液化石油气等清洁燃气、电和低硫轻柴油等清洁燃油（不包括机动车用燃油）。</w:t>
      </w:r>
    </w:p>
    <w:p w14:paraId="38B6407B">
      <w:pPr>
        <w:ind w:firstLine="640" w:firstLineChars="200"/>
        <w:rPr>
          <w:rFonts w:ascii="Times New Roman" w:hAnsi="Times New Roman" w:eastAsia="仿宋" w:cs="Times New Roman"/>
          <w:sz w:val="32"/>
          <w:szCs w:val="32"/>
        </w:rPr>
      </w:pPr>
      <w:r>
        <w:rPr>
          <w:rFonts w:ascii="Times New Roman" w:hAnsi="Times New Roman" w:eastAsia="仿宋" w:cs="Times New Roman"/>
          <w:bCs/>
          <w:sz w:val="32"/>
          <w:szCs w:val="32"/>
        </w:rPr>
        <w:t>计算公式：</w:t>
      </w:r>
      <w:r>
        <w:rPr>
          <w:rFonts w:ascii="Times New Roman" w:hAnsi="Times New Roman" w:eastAsia="仿宋" w:cs="Times New Roman"/>
          <w:sz w:val="32"/>
          <w:szCs w:val="32"/>
        </w:rPr>
        <w:t>清洁能源使用率（%）=清洁能源使用量（tce）/终端能源消费总量（tce）×100%。</w:t>
      </w:r>
    </w:p>
    <w:p w14:paraId="56ED85CE">
      <w:pPr>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三、资源利用绿色化指标（4个必选指标+2个可选指标）</w:t>
      </w:r>
    </w:p>
    <w:p w14:paraId="4C8D3B77">
      <w:pPr>
        <w:ind w:firstLine="640" w:firstLineChars="200"/>
        <w:rPr>
          <w:rFonts w:ascii="仿宋" w:hAnsi="仿宋" w:eastAsia="仿宋" w:cs="仿宋"/>
          <w:sz w:val="32"/>
          <w:szCs w:val="32"/>
        </w:rPr>
      </w:pPr>
      <w:r>
        <w:rPr>
          <w:rFonts w:hint="eastAsia" w:ascii="仿宋" w:hAnsi="仿宋" w:eastAsia="仿宋" w:cs="仿宋"/>
          <w:sz w:val="32"/>
          <w:szCs w:val="32"/>
        </w:rPr>
        <w:t>资</w:t>
      </w:r>
      <w:r>
        <w:rPr>
          <w:rFonts w:ascii="Times New Roman" w:hAnsi="Times New Roman" w:eastAsia="仿宋" w:cs="Times New Roman"/>
          <w:sz w:val="32"/>
          <w:szCs w:val="32"/>
        </w:rPr>
        <w:t>源利用绿色化指标包括水资源产出率、土地资源产出率、工业固体废弃物综合利用率、工业用水重复利用率4个必选指标，以及从中水回用率、余热资源回收利用率、废气资源回收利用率、再生资源回收利用率4个可选指标中选取的2个指标。</w:t>
      </w:r>
    </w:p>
    <w:p w14:paraId="04D66F90">
      <w:pPr>
        <w:ind w:firstLine="630"/>
        <w:rPr>
          <w:rFonts w:ascii="楷体" w:hAnsi="楷体" w:eastAsia="楷体" w:cs="楷体"/>
          <w:sz w:val="32"/>
          <w:szCs w:val="32"/>
        </w:rPr>
      </w:pPr>
      <w:r>
        <w:rPr>
          <w:rFonts w:ascii="楷体" w:hAnsi="楷体" w:eastAsia="楷体" w:cs="楷体"/>
          <w:sz w:val="32"/>
          <w:szCs w:val="32"/>
        </w:rPr>
        <w:t>（一）水资源产出率（必选）</w:t>
      </w:r>
    </w:p>
    <w:p w14:paraId="5F1AF5F4">
      <w:pPr>
        <w:ind w:firstLine="640" w:firstLineChars="200"/>
        <w:rPr>
          <w:rFonts w:ascii="Times New Roman" w:hAnsi="Times New Roman" w:eastAsia="仿宋" w:cs="Times New Roman"/>
          <w:sz w:val="32"/>
          <w:szCs w:val="32"/>
        </w:rPr>
      </w:pPr>
      <w:r>
        <w:rPr>
          <w:rFonts w:hint="eastAsia" w:ascii="仿宋" w:hAnsi="仿宋" w:eastAsia="仿宋" w:cs="仿宋"/>
          <w:bCs/>
          <w:sz w:val="32"/>
          <w:szCs w:val="32"/>
        </w:rPr>
        <w:t>指标解释：</w:t>
      </w:r>
      <w:r>
        <w:rPr>
          <w:rFonts w:hint="eastAsia" w:ascii="仿宋" w:hAnsi="仿宋" w:eastAsia="仿宋" w:cs="仿宋"/>
          <w:sz w:val="32"/>
          <w:szCs w:val="32"/>
        </w:rPr>
        <w:t>指报告期内园区消耗单位新鲜水量所创造的工业增加值。工业用新鲜水量：指报告期内企业厂区内用于生产和生活的新鲜水量</w:t>
      </w:r>
      <w:r>
        <w:rPr>
          <w:rFonts w:ascii="Times New Roman" w:hAnsi="Times New Roman" w:eastAsia="仿宋" w:cs="Times New Roman"/>
          <w:sz w:val="32"/>
          <w:szCs w:val="32"/>
        </w:rPr>
        <w:t>（生活用水单独计量且生活污水不与工业废水混排的除外），它等于企业从城市自来水取用的水量和企业自备水用量之和。</w:t>
      </w:r>
    </w:p>
    <w:p w14:paraId="70AF125E">
      <w:pPr>
        <w:ind w:firstLine="640" w:firstLineChars="200"/>
        <w:rPr>
          <w:rFonts w:ascii="Times New Roman" w:hAnsi="Times New Roman" w:eastAsia="仿宋" w:cs="Times New Roman"/>
          <w:sz w:val="32"/>
          <w:szCs w:val="32"/>
        </w:rPr>
      </w:pPr>
      <w:r>
        <w:rPr>
          <w:rFonts w:ascii="Times New Roman" w:hAnsi="Times New Roman" w:eastAsia="仿宋" w:cs="Times New Roman"/>
          <w:bCs/>
          <w:sz w:val="32"/>
          <w:szCs w:val="32"/>
        </w:rPr>
        <w:t>计算公式：</w:t>
      </w:r>
      <w:r>
        <w:rPr>
          <w:rFonts w:ascii="Times New Roman" w:hAnsi="Times New Roman" w:eastAsia="仿宋" w:cs="Times New Roman"/>
          <w:sz w:val="32"/>
          <w:szCs w:val="32"/>
        </w:rPr>
        <w:t>水资源产出率= 园区工业增加值（万元不变价）/园区工业用新鲜水量（m</w:t>
      </w:r>
      <w:r>
        <w:rPr>
          <w:rFonts w:ascii="Times New Roman" w:hAnsi="Times New Roman" w:eastAsia="仿宋" w:cs="Times New Roman"/>
          <w:sz w:val="32"/>
          <w:szCs w:val="32"/>
          <w:vertAlign w:val="superscript"/>
        </w:rPr>
        <w:t>3</w:t>
      </w:r>
      <w:r>
        <w:rPr>
          <w:rFonts w:ascii="Times New Roman" w:hAnsi="Times New Roman" w:eastAsia="仿宋" w:cs="Times New Roman"/>
          <w:sz w:val="32"/>
          <w:szCs w:val="32"/>
        </w:rPr>
        <w:t>）。</w:t>
      </w:r>
    </w:p>
    <w:p w14:paraId="59D08FAC">
      <w:pPr>
        <w:ind w:firstLine="630"/>
        <w:rPr>
          <w:rFonts w:ascii="Times New Roman" w:hAnsi="Times New Roman" w:eastAsia="楷体" w:cs="Times New Roman"/>
          <w:sz w:val="32"/>
          <w:szCs w:val="32"/>
        </w:rPr>
      </w:pPr>
      <w:r>
        <w:rPr>
          <w:rFonts w:ascii="Times New Roman" w:hAnsi="Times New Roman" w:eastAsia="楷体" w:cs="Times New Roman"/>
          <w:sz w:val="32"/>
          <w:szCs w:val="32"/>
        </w:rPr>
        <w:t>（二）土地资源产出率（必选）</w:t>
      </w:r>
    </w:p>
    <w:p w14:paraId="292622F5">
      <w:pPr>
        <w:ind w:firstLine="640" w:firstLineChars="200"/>
        <w:rPr>
          <w:rFonts w:ascii="Times New Roman" w:hAnsi="Times New Roman" w:eastAsia="仿宋" w:cs="Times New Roman"/>
          <w:sz w:val="32"/>
          <w:szCs w:val="32"/>
        </w:rPr>
      </w:pPr>
      <w:r>
        <w:rPr>
          <w:rFonts w:ascii="Times New Roman" w:hAnsi="Times New Roman" w:eastAsia="仿宋" w:cs="Times New Roman"/>
          <w:bCs/>
          <w:sz w:val="32"/>
          <w:szCs w:val="32"/>
        </w:rPr>
        <w:t>指标解释：</w:t>
      </w:r>
      <w:r>
        <w:rPr>
          <w:rFonts w:ascii="Times New Roman" w:hAnsi="Times New Roman" w:eastAsia="仿宋" w:cs="Times New Roman"/>
          <w:sz w:val="32"/>
          <w:szCs w:val="32"/>
        </w:rPr>
        <w:t>指报告期内园区单位工业用地面积产生的工业增加值。工业用地面积指工业园区规划建设范围内按照土地规划作为工业用地并已投入生产的土地面积。工业用地指工矿企业的生产车间、库房及其附属设施等用地，包括专用的铁路、码头和道路等用地，不包括露天矿用地。</w:t>
      </w:r>
    </w:p>
    <w:p w14:paraId="10C33D28">
      <w:pPr>
        <w:ind w:firstLine="640" w:firstLineChars="200"/>
        <w:rPr>
          <w:rFonts w:ascii="Times New Roman" w:hAnsi="Times New Roman" w:eastAsia="仿宋" w:cs="Times New Roman"/>
          <w:sz w:val="32"/>
          <w:szCs w:val="32"/>
        </w:rPr>
      </w:pPr>
      <w:r>
        <w:rPr>
          <w:rFonts w:ascii="Times New Roman" w:hAnsi="Times New Roman" w:eastAsia="仿宋" w:cs="Times New Roman"/>
          <w:bCs/>
          <w:sz w:val="32"/>
          <w:szCs w:val="32"/>
        </w:rPr>
        <w:t>计算公式：</w:t>
      </w:r>
      <w:r>
        <w:rPr>
          <w:rFonts w:ascii="Times New Roman" w:hAnsi="Times New Roman" w:eastAsia="仿宋" w:cs="Times New Roman"/>
          <w:sz w:val="32"/>
          <w:szCs w:val="32"/>
        </w:rPr>
        <w:t>土地产出率=园区工业增加值（万元不变价）/园区工业用地面积（km</w:t>
      </w:r>
      <w:r>
        <w:rPr>
          <w:rFonts w:ascii="Times New Roman" w:hAnsi="Times New Roman" w:eastAsia="仿宋" w:cs="Times New Roman"/>
          <w:sz w:val="32"/>
          <w:szCs w:val="32"/>
          <w:vertAlign w:val="superscript"/>
        </w:rPr>
        <w:t>2</w:t>
      </w:r>
      <w:r>
        <w:rPr>
          <w:rFonts w:ascii="Times New Roman" w:hAnsi="Times New Roman" w:eastAsia="仿宋" w:cs="Times New Roman"/>
          <w:sz w:val="32"/>
          <w:szCs w:val="32"/>
        </w:rPr>
        <w:t>）。</w:t>
      </w:r>
    </w:p>
    <w:p w14:paraId="35128586">
      <w:pPr>
        <w:ind w:firstLine="630"/>
        <w:rPr>
          <w:rFonts w:ascii="Times New Roman" w:hAnsi="Times New Roman" w:eastAsia="楷体" w:cs="Times New Roman"/>
          <w:sz w:val="32"/>
          <w:szCs w:val="32"/>
        </w:rPr>
      </w:pPr>
      <w:r>
        <w:rPr>
          <w:rFonts w:ascii="Times New Roman" w:hAnsi="Times New Roman" w:eastAsia="楷体" w:cs="Times New Roman"/>
          <w:sz w:val="32"/>
          <w:szCs w:val="32"/>
        </w:rPr>
        <w:t>（三）工业固体废弃物综合利用率（必选）</w:t>
      </w:r>
    </w:p>
    <w:p w14:paraId="663633DA">
      <w:pPr>
        <w:ind w:firstLine="640" w:firstLineChars="200"/>
        <w:rPr>
          <w:rFonts w:ascii="Times New Roman" w:hAnsi="Times New Roman" w:eastAsia="仿宋" w:cs="Times New Roman"/>
          <w:sz w:val="32"/>
          <w:szCs w:val="32"/>
        </w:rPr>
      </w:pPr>
      <w:r>
        <w:rPr>
          <w:rFonts w:ascii="Times New Roman" w:hAnsi="Times New Roman" w:eastAsia="仿宋" w:cs="Times New Roman"/>
          <w:bCs/>
          <w:sz w:val="32"/>
          <w:szCs w:val="32"/>
        </w:rPr>
        <w:t>指标解释：</w:t>
      </w:r>
      <w:r>
        <w:rPr>
          <w:rFonts w:ascii="Times New Roman" w:hAnsi="Times New Roman" w:eastAsia="仿宋" w:cs="Times New Roman"/>
          <w:sz w:val="32"/>
          <w:szCs w:val="32"/>
        </w:rPr>
        <w:t>指工业固体废物综合利用量占工业固体废物产生量（包括综合利用往年贮存量）的百分率。工业固体废物综合利用量指报告期内企业通过回收、加工、循环、交换等方式，从固体废物中提取或者使其转化为可以利用的资源、能源和其他原材料的固体废物量（包括当年利用往年的工业固体废物贮存量），如用作农业肥料、生产建筑材料、筑路等。综合利用量由原产生固体废物的单位统计。</w:t>
      </w:r>
    </w:p>
    <w:p w14:paraId="1E632DA2">
      <w:pPr>
        <w:ind w:firstLine="640" w:firstLineChars="200"/>
        <w:rPr>
          <w:rFonts w:ascii="Times New Roman" w:hAnsi="Times New Roman" w:eastAsia="仿宋" w:cs="Times New Roman"/>
          <w:sz w:val="32"/>
          <w:szCs w:val="32"/>
        </w:rPr>
      </w:pPr>
      <w:r>
        <w:rPr>
          <w:rFonts w:ascii="Times New Roman" w:hAnsi="Times New Roman" w:eastAsia="仿宋" w:cs="Times New Roman"/>
          <w:bCs/>
          <w:sz w:val="32"/>
          <w:szCs w:val="32"/>
        </w:rPr>
        <w:t>计算公式：</w:t>
      </w:r>
      <w:r>
        <w:rPr>
          <w:rFonts w:ascii="Times New Roman" w:hAnsi="Times New Roman" w:eastAsia="仿宋" w:cs="Times New Roman"/>
          <w:sz w:val="32"/>
          <w:szCs w:val="32"/>
        </w:rPr>
        <w:t>工业固体废弃物综合利用率=工业固体废弃物综合利用量（t）/（工业固体废弃物产生量+综合利用往年贮存量(t)）×100%。</w:t>
      </w:r>
    </w:p>
    <w:p w14:paraId="30DCEAF0">
      <w:pPr>
        <w:ind w:firstLine="630"/>
        <w:rPr>
          <w:rFonts w:ascii="Times New Roman" w:hAnsi="Times New Roman" w:eastAsia="楷体" w:cs="Times New Roman"/>
          <w:sz w:val="32"/>
          <w:szCs w:val="32"/>
        </w:rPr>
      </w:pPr>
      <w:r>
        <w:rPr>
          <w:rFonts w:ascii="Times New Roman" w:hAnsi="Times New Roman" w:eastAsia="楷体" w:cs="Times New Roman"/>
          <w:sz w:val="32"/>
          <w:szCs w:val="32"/>
        </w:rPr>
        <w:t>（四）工业用水重复利用率（必选）</w:t>
      </w:r>
    </w:p>
    <w:p w14:paraId="6B8DBFF8">
      <w:pPr>
        <w:ind w:firstLine="640" w:firstLineChars="200"/>
        <w:jc w:val="left"/>
        <w:rPr>
          <w:rFonts w:ascii="Times New Roman" w:hAnsi="Times New Roman" w:eastAsia="仿宋" w:cs="Times New Roman"/>
          <w:sz w:val="32"/>
          <w:szCs w:val="32"/>
        </w:rPr>
      </w:pPr>
      <w:r>
        <w:rPr>
          <w:rFonts w:ascii="Times New Roman" w:hAnsi="Times New Roman" w:eastAsia="仿宋" w:cs="Times New Roman"/>
          <w:bCs/>
          <w:sz w:val="32"/>
          <w:szCs w:val="32"/>
        </w:rPr>
        <w:t>指标解释</w:t>
      </w:r>
      <w:r>
        <w:rPr>
          <w:rFonts w:ascii="Times New Roman" w:hAnsi="Times New Roman" w:eastAsia="仿宋" w:cs="Times New Roman"/>
          <w:sz w:val="32"/>
          <w:szCs w:val="32"/>
        </w:rPr>
        <w:t>：指工业重复用水量占工业用水总量的百分</w:t>
      </w:r>
    </w:p>
    <w:p w14:paraId="0F1BFE88">
      <w:pPr>
        <w:rPr>
          <w:rFonts w:ascii="Times New Roman" w:hAnsi="Times New Roman" w:eastAsia="仿宋" w:cs="Times New Roman"/>
          <w:sz w:val="32"/>
          <w:szCs w:val="32"/>
        </w:rPr>
      </w:pPr>
      <w:r>
        <w:rPr>
          <w:rFonts w:ascii="Times New Roman" w:hAnsi="Times New Roman" w:eastAsia="仿宋" w:cs="Times New Roman"/>
          <w:sz w:val="32"/>
          <w:szCs w:val="32"/>
        </w:rPr>
        <w:t>率。工业重复用水量指报告期内企业生产用水中重复再利用的水量，包括循环使用、一水多用和串级使用的水量（含经处理后回用量）。工业用水总量指报告期内企业厂区内用于生产和生活的水量，它等于工业用新鲜水量与工业重复用水量之和。</w:t>
      </w:r>
    </w:p>
    <w:p w14:paraId="00748B71">
      <w:pPr>
        <w:ind w:firstLine="640" w:firstLineChars="200"/>
        <w:rPr>
          <w:rFonts w:ascii="Times New Roman" w:hAnsi="Times New Roman" w:eastAsia="仿宋" w:cs="Times New Roman"/>
          <w:sz w:val="32"/>
          <w:szCs w:val="32"/>
        </w:rPr>
      </w:pPr>
      <w:r>
        <w:rPr>
          <w:rFonts w:ascii="Times New Roman" w:hAnsi="Times New Roman" w:eastAsia="仿宋" w:cs="Times New Roman"/>
          <w:bCs/>
          <w:sz w:val="32"/>
          <w:szCs w:val="32"/>
        </w:rPr>
        <w:t>计算公式：</w:t>
      </w:r>
      <w:r>
        <w:rPr>
          <w:rFonts w:ascii="Times New Roman" w:hAnsi="Times New Roman" w:eastAsia="仿宋" w:cs="Times New Roman"/>
          <w:sz w:val="32"/>
          <w:szCs w:val="32"/>
        </w:rPr>
        <w:t>工业用水重复利用率=工业重复用水量（m</w:t>
      </w:r>
      <w:r>
        <w:rPr>
          <w:rFonts w:ascii="Times New Roman" w:hAnsi="Times New Roman" w:eastAsia="仿宋" w:cs="Times New Roman"/>
          <w:sz w:val="32"/>
          <w:szCs w:val="32"/>
          <w:vertAlign w:val="superscript"/>
        </w:rPr>
        <w:t>3</w:t>
      </w:r>
      <w:r>
        <w:rPr>
          <w:rFonts w:ascii="Times New Roman" w:hAnsi="Times New Roman" w:eastAsia="仿宋" w:cs="Times New Roman"/>
          <w:sz w:val="32"/>
          <w:szCs w:val="32"/>
        </w:rPr>
        <w:t>）/工业用水总量（m</w:t>
      </w:r>
      <w:r>
        <w:rPr>
          <w:rFonts w:ascii="Times New Roman" w:hAnsi="Times New Roman" w:eastAsia="仿宋" w:cs="Times New Roman"/>
          <w:sz w:val="32"/>
          <w:szCs w:val="32"/>
          <w:vertAlign w:val="superscript"/>
        </w:rPr>
        <w:t>3</w:t>
      </w:r>
      <w:r>
        <w:rPr>
          <w:rFonts w:ascii="Times New Roman" w:hAnsi="Times New Roman" w:eastAsia="仿宋" w:cs="Times New Roman"/>
          <w:sz w:val="32"/>
          <w:szCs w:val="32"/>
        </w:rPr>
        <w:t>）×100%。</w:t>
      </w:r>
    </w:p>
    <w:p w14:paraId="0FDBDCB2">
      <w:pPr>
        <w:ind w:firstLine="630"/>
        <w:rPr>
          <w:rFonts w:ascii="楷体" w:hAnsi="楷体" w:eastAsia="楷体" w:cs="楷体"/>
          <w:sz w:val="32"/>
          <w:szCs w:val="32"/>
        </w:rPr>
      </w:pPr>
      <w:r>
        <w:rPr>
          <w:rFonts w:ascii="楷体" w:hAnsi="楷体" w:eastAsia="楷体" w:cs="楷体"/>
          <w:sz w:val="32"/>
          <w:szCs w:val="32"/>
        </w:rPr>
        <w:t>（五）中水回用率（可选）</w:t>
      </w:r>
    </w:p>
    <w:p w14:paraId="6271F669">
      <w:pPr>
        <w:ind w:firstLine="640" w:firstLineChars="200"/>
        <w:rPr>
          <w:rFonts w:ascii="Times New Roman" w:hAnsi="Times New Roman" w:eastAsia="仿宋" w:cs="Times New Roman"/>
          <w:sz w:val="32"/>
          <w:szCs w:val="32"/>
        </w:rPr>
      </w:pPr>
      <w:r>
        <w:rPr>
          <w:rFonts w:hint="eastAsia" w:ascii="仿宋" w:hAnsi="仿宋" w:eastAsia="仿宋" w:cs="仿宋"/>
          <w:bCs/>
          <w:sz w:val="32"/>
          <w:szCs w:val="32"/>
        </w:rPr>
        <w:t>指标解释：</w:t>
      </w:r>
      <w:r>
        <w:rPr>
          <w:rFonts w:hint="eastAsia" w:ascii="仿宋" w:hAnsi="仿宋" w:eastAsia="仿宋" w:cs="仿宋"/>
          <w:sz w:val="32"/>
          <w:szCs w:val="32"/>
        </w:rPr>
        <w:t>指园区内再生水的回用量与污水处理厂处理量的比值。其中，再生水（中水）是指二级达标水经再生工艺净化处理后，达到</w:t>
      </w:r>
      <w:r>
        <w:rPr>
          <w:rFonts w:ascii="Times New Roman" w:hAnsi="Times New Roman" w:eastAsia="仿宋" w:cs="Times New Roman"/>
          <w:sz w:val="32"/>
          <w:szCs w:val="32"/>
        </w:rPr>
        <w:t>中水水质指标要求，满足某种使用要求的水。</w:t>
      </w:r>
    </w:p>
    <w:p w14:paraId="263DC9A9">
      <w:pPr>
        <w:ind w:firstLine="640" w:firstLineChars="200"/>
        <w:rPr>
          <w:rFonts w:ascii="Times New Roman" w:hAnsi="Times New Roman" w:eastAsia="仿宋" w:cs="Times New Roman"/>
          <w:sz w:val="32"/>
          <w:szCs w:val="32"/>
        </w:rPr>
      </w:pPr>
      <w:r>
        <w:rPr>
          <w:rFonts w:ascii="Times New Roman" w:hAnsi="Times New Roman" w:eastAsia="仿宋" w:cs="Times New Roman"/>
          <w:bCs/>
          <w:sz w:val="32"/>
          <w:szCs w:val="32"/>
        </w:rPr>
        <w:t>计算公式</w:t>
      </w:r>
      <w:r>
        <w:rPr>
          <w:rFonts w:ascii="Times New Roman" w:hAnsi="Times New Roman" w:eastAsia="仿宋" w:cs="Times New Roman"/>
          <w:sz w:val="32"/>
          <w:szCs w:val="32"/>
        </w:rPr>
        <w:t>：中水回用率（%）=园区再生水（中水）回用量（万吨）/园区污水处理厂处理量（万吨）×100%。</w:t>
      </w:r>
    </w:p>
    <w:p w14:paraId="44533FC1">
      <w:pPr>
        <w:ind w:firstLine="630"/>
        <w:rPr>
          <w:rFonts w:ascii="楷体" w:hAnsi="楷体" w:eastAsia="楷体" w:cs="楷体"/>
          <w:sz w:val="32"/>
          <w:szCs w:val="32"/>
        </w:rPr>
      </w:pPr>
      <w:r>
        <w:rPr>
          <w:rFonts w:ascii="楷体" w:hAnsi="楷体" w:eastAsia="楷体" w:cs="楷体"/>
          <w:sz w:val="32"/>
          <w:szCs w:val="32"/>
        </w:rPr>
        <w:t>（六）余热资源回收利用率（可选）</w:t>
      </w:r>
    </w:p>
    <w:p w14:paraId="244D9AEE">
      <w:pPr>
        <w:ind w:firstLine="640" w:firstLineChars="200"/>
        <w:rPr>
          <w:rFonts w:ascii="Times New Roman" w:hAnsi="Times New Roman" w:eastAsia="仿宋" w:cs="Times New Roman"/>
          <w:sz w:val="32"/>
          <w:szCs w:val="32"/>
        </w:rPr>
      </w:pPr>
      <w:r>
        <w:rPr>
          <w:rFonts w:hint="eastAsia" w:ascii="仿宋" w:hAnsi="仿宋" w:eastAsia="仿宋" w:cs="仿宋"/>
          <w:bCs/>
          <w:sz w:val="32"/>
          <w:szCs w:val="32"/>
        </w:rPr>
        <w:t>指标解释：</w:t>
      </w:r>
      <w:r>
        <w:rPr>
          <w:rFonts w:hint="eastAsia" w:ascii="仿宋" w:hAnsi="仿宋" w:eastAsia="仿宋" w:cs="仿宋"/>
          <w:sz w:val="32"/>
          <w:szCs w:val="32"/>
        </w:rPr>
        <w:t>已回收利用的余热占园区余热资源的比重。它是反映企业余热资源回收利用程度的重要指标。余热回收利用是回收生产工艺过程中排出的具有高于环境温度的气态（如高温烟气）、液态（如冷却水）、固态（如各种高温钢材）物质所载有的热能，并加以利用</w:t>
      </w:r>
      <w:r>
        <w:rPr>
          <w:rFonts w:ascii="Times New Roman" w:hAnsi="Times New Roman" w:eastAsia="仿宋" w:cs="Times New Roman"/>
          <w:sz w:val="32"/>
          <w:szCs w:val="32"/>
        </w:rPr>
        <w:t>的过程。园区余热资源量按照GB/T 1028计算。</w:t>
      </w:r>
    </w:p>
    <w:p w14:paraId="47BD2321">
      <w:pPr>
        <w:ind w:firstLine="640" w:firstLineChars="200"/>
        <w:rPr>
          <w:rFonts w:ascii="Times New Roman" w:hAnsi="Times New Roman" w:eastAsia="仿宋" w:cs="Times New Roman"/>
          <w:sz w:val="32"/>
          <w:szCs w:val="32"/>
        </w:rPr>
      </w:pPr>
      <w:r>
        <w:rPr>
          <w:rFonts w:ascii="Times New Roman" w:hAnsi="Times New Roman" w:eastAsia="仿宋" w:cs="Times New Roman"/>
          <w:bCs/>
          <w:sz w:val="32"/>
          <w:szCs w:val="32"/>
        </w:rPr>
        <w:t>计算公式</w:t>
      </w:r>
      <w:r>
        <w:rPr>
          <w:rFonts w:ascii="Times New Roman" w:hAnsi="Times New Roman" w:eastAsia="仿宋" w:cs="Times New Roman"/>
          <w:sz w:val="32"/>
          <w:szCs w:val="32"/>
        </w:rPr>
        <w:t>：余热资源回收利用率（%）=回收利用的余热资源量（kJ）/园区总余热资源量（kJ）×100%。</w:t>
      </w:r>
    </w:p>
    <w:p w14:paraId="48D5A8D7">
      <w:pPr>
        <w:ind w:firstLine="630"/>
        <w:rPr>
          <w:rFonts w:ascii="楷体" w:hAnsi="楷体" w:eastAsia="楷体" w:cs="楷体"/>
          <w:sz w:val="32"/>
          <w:szCs w:val="32"/>
        </w:rPr>
      </w:pPr>
      <w:r>
        <w:rPr>
          <w:rFonts w:ascii="楷体" w:hAnsi="楷体" w:eastAsia="楷体" w:cs="楷体"/>
          <w:sz w:val="32"/>
          <w:szCs w:val="32"/>
        </w:rPr>
        <w:t>（七）废气资源回收利用率（可选）</w:t>
      </w:r>
    </w:p>
    <w:p w14:paraId="766E9AE7">
      <w:pPr>
        <w:ind w:firstLine="640" w:firstLineChars="200"/>
        <w:rPr>
          <w:rFonts w:ascii="仿宋" w:hAnsi="仿宋" w:eastAsia="仿宋" w:cs="仿宋"/>
          <w:sz w:val="32"/>
          <w:szCs w:val="32"/>
        </w:rPr>
      </w:pPr>
      <w:r>
        <w:rPr>
          <w:rFonts w:hint="eastAsia" w:ascii="仿宋" w:hAnsi="仿宋" w:eastAsia="仿宋" w:cs="仿宋"/>
          <w:bCs/>
          <w:sz w:val="32"/>
          <w:szCs w:val="32"/>
        </w:rPr>
        <w:t>指标解释：</w:t>
      </w:r>
      <w:r>
        <w:rPr>
          <w:rFonts w:hint="eastAsia" w:ascii="仿宋" w:hAnsi="仿宋" w:eastAsia="仿宋" w:cs="仿宋"/>
          <w:sz w:val="32"/>
          <w:szCs w:val="32"/>
        </w:rPr>
        <w:t>回收利用的废气资源量占园区废气资源的比重。废气资源量为经技术经济分析确定的可回收利用的废气量。园区中可回收利用的废气资源包括但不限于焦炉煤气、高炉煤气、转炉煤气、电石尾气、黄磷尾气、化工合成驰放气。</w:t>
      </w:r>
    </w:p>
    <w:p w14:paraId="24CD8147">
      <w:pPr>
        <w:ind w:firstLine="640" w:firstLineChars="200"/>
        <w:rPr>
          <w:rFonts w:ascii="Times New Roman" w:hAnsi="Times New Roman" w:eastAsia="仿宋_GB2312" w:cs="Times New Roman"/>
          <w:sz w:val="32"/>
          <w:szCs w:val="32"/>
        </w:rPr>
      </w:pPr>
      <w:r>
        <w:rPr>
          <w:rFonts w:hint="eastAsia" w:ascii="仿宋" w:hAnsi="仿宋" w:eastAsia="仿宋" w:cs="仿宋"/>
          <w:bCs/>
          <w:sz w:val="32"/>
          <w:szCs w:val="32"/>
        </w:rPr>
        <w:t>计算公式：</w:t>
      </w:r>
      <w:r>
        <w:rPr>
          <w:rFonts w:hint="eastAsia" w:ascii="仿宋" w:hAnsi="仿宋" w:eastAsia="仿宋" w:cs="仿宋"/>
          <w:sz w:val="32"/>
          <w:szCs w:val="32"/>
        </w:rPr>
        <w:t>废气资源回收利用率（%）=回收利用的废气资</w:t>
      </w:r>
      <w:r>
        <w:rPr>
          <w:rFonts w:ascii="Times New Roman" w:hAnsi="Times New Roman" w:eastAsia="仿宋" w:cs="Times New Roman"/>
          <w:sz w:val="32"/>
          <w:szCs w:val="32"/>
        </w:rPr>
        <w:t>源量（万m</w:t>
      </w:r>
      <w:r>
        <w:rPr>
          <w:rFonts w:ascii="Times New Roman" w:hAnsi="Times New Roman" w:eastAsia="仿宋" w:cs="Times New Roman"/>
          <w:sz w:val="32"/>
          <w:szCs w:val="32"/>
          <w:vertAlign w:val="superscript"/>
        </w:rPr>
        <w:t>3</w:t>
      </w:r>
      <w:r>
        <w:rPr>
          <w:rFonts w:ascii="Times New Roman" w:hAnsi="Times New Roman" w:eastAsia="仿宋" w:cs="Times New Roman"/>
          <w:sz w:val="32"/>
          <w:szCs w:val="32"/>
        </w:rPr>
        <w:t>）/园区可回收利用总废气资源量（万m</w:t>
      </w:r>
      <w:r>
        <w:rPr>
          <w:rFonts w:ascii="Times New Roman" w:hAnsi="Times New Roman" w:eastAsia="仿宋" w:cs="Times New Roman"/>
          <w:sz w:val="32"/>
          <w:szCs w:val="32"/>
          <w:vertAlign w:val="superscript"/>
        </w:rPr>
        <w:t>3</w:t>
      </w:r>
      <w:r>
        <w:rPr>
          <w:rFonts w:ascii="Times New Roman" w:hAnsi="Times New Roman" w:eastAsia="仿宋" w:cs="Times New Roman"/>
          <w:sz w:val="32"/>
          <w:szCs w:val="32"/>
        </w:rPr>
        <w:t>）×100%。</w:t>
      </w:r>
    </w:p>
    <w:p w14:paraId="68C1E117">
      <w:pPr>
        <w:ind w:firstLine="630"/>
        <w:rPr>
          <w:rFonts w:ascii="楷体" w:hAnsi="楷体" w:eastAsia="楷体" w:cs="楷体"/>
          <w:sz w:val="32"/>
          <w:szCs w:val="32"/>
        </w:rPr>
      </w:pPr>
      <w:r>
        <w:rPr>
          <w:rFonts w:ascii="楷体" w:hAnsi="楷体" w:eastAsia="楷体" w:cs="楷体"/>
          <w:sz w:val="32"/>
          <w:szCs w:val="32"/>
        </w:rPr>
        <w:t>（八）再生资源回收利用率（可选）</w:t>
      </w:r>
    </w:p>
    <w:p w14:paraId="705AA624">
      <w:pPr>
        <w:ind w:firstLine="640" w:firstLineChars="200"/>
        <w:rPr>
          <w:rFonts w:ascii="仿宋" w:hAnsi="仿宋" w:eastAsia="仿宋" w:cs="仿宋"/>
          <w:sz w:val="32"/>
          <w:szCs w:val="32"/>
        </w:rPr>
      </w:pPr>
      <w:r>
        <w:rPr>
          <w:rFonts w:hint="eastAsia" w:ascii="仿宋" w:hAnsi="仿宋" w:eastAsia="仿宋" w:cs="仿宋"/>
          <w:bCs/>
          <w:sz w:val="32"/>
          <w:szCs w:val="32"/>
        </w:rPr>
        <w:t>指标解释：</w:t>
      </w:r>
      <w:r>
        <w:rPr>
          <w:rFonts w:hint="eastAsia" w:ascii="仿宋" w:hAnsi="仿宋" w:eastAsia="仿宋" w:cs="仿宋"/>
          <w:sz w:val="32"/>
          <w:szCs w:val="32"/>
        </w:rPr>
        <w:t>本指标主要适用于再生资源类园区，是指园区内再生资源的循环利用量与再生资源收集量的比值。再生资源主要包括但不限于废钢铁、废有色金属、废纸、废塑料、废旧纺织品、废旧木材、废旧轮胎、废矿物油、废弃电器电子产品、报废汽车等。</w:t>
      </w:r>
    </w:p>
    <w:p w14:paraId="054A05E8">
      <w:pPr>
        <w:ind w:firstLine="640" w:firstLineChars="200"/>
        <w:rPr>
          <w:rFonts w:ascii="仿宋" w:hAnsi="仿宋" w:eastAsia="仿宋" w:cs="仿宋"/>
          <w:sz w:val="32"/>
          <w:szCs w:val="32"/>
        </w:rPr>
      </w:pPr>
      <w:r>
        <w:rPr>
          <w:rFonts w:hint="eastAsia" w:ascii="仿宋" w:hAnsi="仿宋" w:eastAsia="仿宋" w:cs="仿宋"/>
          <w:bCs/>
          <w:sz w:val="32"/>
          <w:szCs w:val="32"/>
        </w:rPr>
        <w:t>计算公式：</w:t>
      </w:r>
      <w:r>
        <w:rPr>
          <w:rFonts w:hint="eastAsia" w:ascii="仿宋" w:hAnsi="仿宋" w:eastAsia="仿宋" w:cs="仿宋"/>
          <w:sz w:val="32"/>
          <w:szCs w:val="32"/>
        </w:rPr>
        <w:t>再生资源回收利用</w:t>
      </w:r>
      <w:r>
        <w:rPr>
          <w:rFonts w:ascii="Times New Roman" w:hAnsi="Times New Roman" w:eastAsia="仿宋" w:cs="Times New Roman"/>
          <w:sz w:val="32"/>
          <w:szCs w:val="32"/>
        </w:rPr>
        <w:t>率（%）=再生资源循环利用量（万吨）/再生资源收集量（万吨）×100%。</w:t>
      </w:r>
    </w:p>
    <w:p w14:paraId="5DC87744">
      <w:pPr>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四、基础设施绿色化指标（1个必选指标+2个可选指标）</w:t>
      </w:r>
    </w:p>
    <w:p w14:paraId="22663561">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基础设施绿色化指标包括污水集中处理设施1个必选指标，以及从新建工业建筑中绿色建筑的比例、新建公共建筑中绿色建筑的比例2个可选指标中选取1个指标，从500米公交站点覆盖率、节能与新能源公交车比例2个可选指标中选取1个指标。</w:t>
      </w:r>
    </w:p>
    <w:p w14:paraId="6F5BBFAA">
      <w:pPr>
        <w:ind w:firstLine="630"/>
        <w:rPr>
          <w:rFonts w:ascii="Times New Roman" w:hAnsi="Times New Roman" w:eastAsia="楷体" w:cs="Times New Roman"/>
          <w:sz w:val="32"/>
          <w:szCs w:val="32"/>
        </w:rPr>
      </w:pPr>
      <w:r>
        <w:rPr>
          <w:rFonts w:ascii="Times New Roman" w:hAnsi="Times New Roman" w:eastAsia="楷体" w:cs="Times New Roman"/>
          <w:sz w:val="32"/>
          <w:szCs w:val="32"/>
        </w:rPr>
        <w:t>（一）污水集中处理设施（必选）</w:t>
      </w:r>
    </w:p>
    <w:p w14:paraId="7CCAFDD6">
      <w:pPr>
        <w:ind w:firstLine="640" w:firstLineChars="200"/>
        <w:rPr>
          <w:rFonts w:ascii="Times New Roman" w:hAnsi="Times New Roman" w:eastAsia="仿宋" w:cs="Times New Roman"/>
          <w:sz w:val="32"/>
          <w:szCs w:val="32"/>
        </w:rPr>
      </w:pPr>
      <w:r>
        <w:rPr>
          <w:rFonts w:ascii="Times New Roman" w:hAnsi="Times New Roman" w:eastAsia="仿宋" w:cs="Times New Roman"/>
          <w:bCs/>
          <w:sz w:val="32"/>
          <w:szCs w:val="32"/>
        </w:rPr>
        <w:t>指标解释：</w:t>
      </w:r>
      <w:r>
        <w:rPr>
          <w:rFonts w:ascii="Times New Roman" w:hAnsi="Times New Roman" w:eastAsia="仿宋" w:cs="Times New Roman"/>
          <w:sz w:val="32"/>
          <w:szCs w:val="32"/>
        </w:rPr>
        <w:t>园区内所有工业废水经预处理达到集中处理要求后进入安装有自动在线监控装置的污水集中处理设施（园区内或园区外）。</w:t>
      </w:r>
    </w:p>
    <w:p w14:paraId="426096D6">
      <w:pPr>
        <w:ind w:firstLine="630"/>
        <w:rPr>
          <w:rFonts w:ascii="Times New Roman" w:hAnsi="Times New Roman" w:eastAsia="楷体" w:cs="Times New Roman"/>
          <w:sz w:val="32"/>
          <w:szCs w:val="32"/>
        </w:rPr>
      </w:pPr>
      <w:r>
        <w:rPr>
          <w:rFonts w:ascii="Times New Roman" w:hAnsi="Times New Roman" w:eastAsia="楷体" w:cs="Times New Roman"/>
          <w:sz w:val="32"/>
          <w:szCs w:val="32"/>
        </w:rPr>
        <w:t>（二）新建工业建筑中绿色建筑的比例（可选）</w:t>
      </w:r>
    </w:p>
    <w:p w14:paraId="64FC9E59">
      <w:pPr>
        <w:ind w:firstLine="640" w:firstLineChars="200"/>
        <w:rPr>
          <w:rFonts w:ascii="Times New Roman" w:hAnsi="Times New Roman" w:eastAsia="仿宋" w:cs="Times New Roman"/>
          <w:sz w:val="32"/>
          <w:szCs w:val="32"/>
        </w:rPr>
      </w:pPr>
      <w:r>
        <w:rPr>
          <w:rFonts w:ascii="Times New Roman" w:hAnsi="Times New Roman" w:eastAsia="仿宋" w:cs="Times New Roman"/>
          <w:bCs/>
          <w:sz w:val="32"/>
          <w:szCs w:val="32"/>
        </w:rPr>
        <w:t>指标解释：</w:t>
      </w:r>
      <w:r>
        <w:rPr>
          <w:rFonts w:ascii="Times New Roman" w:hAnsi="Times New Roman" w:eastAsia="仿宋" w:cs="Times New Roman"/>
          <w:sz w:val="32"/>
          <w:szCs w:val="32"/>
        </w:rPr>
        <w:t>园区新建工业建筑中的绿色建筑是按照GB/T 50878-2013《绿色工业建筑评价标准》评价，获得二星及以上评级的工业建筑。</w:t>
      </w:r>
    </w:p>
    <w:p w14:paraId="5BBB84E3">
      <w:pPr>
        <w:ind w:firstLine="640" w:firstLineChars="200"/>
        <w:rPr>
          <w:rFonts w:ascii="Times New Roman" w:hAnsi="Times New Roman" w:eastAsia="仿宋" w:cs="Times New Roman"/>
          <w:sz w:val="32"/>
          <w:szCs w:val="32"/>
        </w:rPr>
      </w:pPr>
      <w:r>
        <w:rPr>
          <w:rFonts w:ascii="Times New Roman" w:hAnsi="Times New Roman" w:eastAsia="仿宋" w:cs="Times New Roman"/>
          <w:bCs/>
          <w:sz w:val="32"/>
          <w:szCs w:val="32"/>
        </w:rPr>
        <w:t>计算公式：</w:t>
      </w:r>
      <w:r>
        <w:rPr>
          <w:rFonts w:ascii="Times New Roman" w:hAnsi="Times New Roman" w:eastAsia="仿宋" w:cs="Times New Roman"/>
          <w:sz w:val="32"/>
          <w:szCs w:val="32"/>
        </w:rPr>
        <w:t>新建工业建筑中绿色建筑的比例（%）=新建工业建筑中绿色建筑的面积（m</w:t>
      </w:r>
      <w:r>
        <w:rPr>
          <w:rFonts w:ascii="Times New Roman" w:hAnsi="Times New Roman" w:eastAsia="仿宋" w:cs="Times New Roman"/>
          <w:sz w:val="32"/>
          <w:szCs w:val="32"/>
          <w:vertAlign w:val="superscript"/>
        </w:rPr>
        <w:t>2</w:t>
      </w:r>
      <w:r>
        <w:rPr>
          <w:rFonts w:ascii="Times New Roman" w:hAnsi="Times New Roman" w:eastAsia="仿宋" w:cs="Times New Roman"/>
          <w:sz w:val="32"/>
          <w:szCs w:val="32"/>
        </w:rPr>
        <w:t>）/园区新建工业建筑面积</w:t>
      </w:r>
    </w:p>
    <w:p w14:paraId="05C072CB">
      <w:pPr>
        <w:rPr>
          <w:rFonts w:ascii="Times New Roman" w:hAnsi="Times New Roman" w:eastAsia="仿宋" w:cs="Times New Roman"/>
          <w:sz w:val="32"/>
          <w:szCs w:val="32"/>
        </w:rPr>
      </w:pPr>
      <w:r>
        <w:rPr>
          <w:rFonts w:ascii="Times New Roman" w:hAnsi="Times New Roman" w:eastAsia="仿宋" w:cs="Times New Roman"/>
          <w:sz w:val="32"/>
          <w:szCs w:val="32"/>
        </w:rPr>
        <w:t>（m</w:t>
      </w:r>
      <w:r>
        <w:rPr>
          <w:rFonts w:ascii="Times New Roman" w:hAnsi="Times New Roman" w:eastAsia="仿宋" w:cs="Times New Roman"/>
          <w:sz w:val="32"/>
          <w:szCs w:val="32"/>
          <w:vertAlign w:val="superscript"/>
        </w:rPr>
        <w:t>2</w:t>
      </w:r>
      <w:r>
        <w:rPr>
          <w:rFonts w:ascii="Times New Roman" w:hAnsi="Times New Roman" w:eastAsia="仿宋" w:cs="Times New Roman"/>
          <w:sz w:val="32"/>
          <w:szCs w:val="32"/>
        </w:rPr>
        <w:t>）×100%。</w:t>
      </w:r>
    </w:p>
    <w:p w14:paraId="05AAD0A5">
      <w:pPr>
        <w:ind w:firstLine="630"/>
        <w:rPr>
          <w:rFonts w:ascii="Times New Roman" w:hAnsi="Times New Roman" w:eastAsia="楷体" w:cs="Times New Roman"/>
          <w:sz w:val="32"/>
          <w:szCs w:val="32"/>
        </w:rPr>
      </w:pPr>
      <w:r>
        <w:rPr>
          <w:rFonts w:ascii="Times New Roman" w:hAnsi="Times New Roman" w:eastAsia="楷体" w:cs="Times New Roman"/>
          <w:sz w:val="32"/>
          <w:szCs w:val="32"/>
        </w:rPr>
        <w:t>（三）新建公共建筑中绿色建筑的比例（可选）</w:t>
      </w:r>
    </w:p>
    <w:p w14:paraId="0E06FA8B">
      <w:pPr>
        <w:ind w:firstLine="640" w:firstLineChars="200"/>
        <w:rPr>
          <w:rFonts w:ascii="Times New Roman" w:hAnsi="Times New Roman" w:eastAsia="仿宋" w:cs="Times New Roman"/>
          <w:sz w:val="32"/>
          <w:szCs w:val="32"/>
        </w:rPr>
      </w:pPr>
      <w:r>
        <w:rPr>
          <w:rFonts w:ascii="Times New Roman" w:hAnsi="Times New Roman" w:eastAsia="仿宋" w:cs="Times New Roman"/>
          <w:bCs/>
          <w:sz w:val="32"/>
          <w:szCs w:val="32"/>
        </w:rPr>
        <w:t>指标解释：</w:t>
      </w:r>
      <w:r>
        <w:rPr>
          <w:rFonts w:ascii="Times New Roman" w:hAnsi="Times New Roman" w:eastAsia="仿宋" w:cs="Times New Roman"/>
          <w:sz w:val="32"/>
          <w:szCs w:val="32"/>
        </w:rPr>
        <w:t>园区新建公共建筑中的绿色建筑是按照GB/T 50378-2014《绿色建筑评价标准》评价，获得二星及以上评级的公共建筑。</w:t>
      </w:r>
    </w:p>
    <w:p w14:paraId="6B35E46F">
      <w:pPr>
        <w:ind w:firstLine="640" w:firstLineChars="200"/>
        <w:rPr>
          <w:rFonts w:ascii="Times New Roman" w:hAnsi="Times New Roman" w:eastAsia="仿宋" w:cs="Times New Roman"/>
          <w:sz w:val="32"/>
          <w:szCs w:val="32"/>
        </w:rPr>
      </w:pPr>
      <w:r>
        <w:rPr>
          <w:rFonts w:ascii="Times New Roman" w:hAnsi="Times New Roman" w:eastAsia="仿宋" w:cs="Times New Roman"/>
          <w:bCs/>
          <w:sz w:val="32"/>
          <w:szCs w:val="32"/>
        </w:rPr>
        <w:t>计算公式</w:t>
      </w:r>
      <w:r>
        <w:rPr>
          <w:rFonts w:ascii="Times New Roman" w:hAnsi="Times New Roman" w:eastAsia="仿宋" w:cs="Times New Roman"/>
          <w:sz w:val="32"/>
          <w:szCs w:val="32"/>
        </w:rPr>
        <w:t>：新建公共建筑中绿色建筑的比例（%）=新建公共建筑中绿色建筑的面积（m</w:t>
      </w:r>
      <w:r>
        <w:rPr>
          <w:rFonts w:ascii="Times New Roman" w:hAnsi="Times New Roman" w:eastAsia="仿宋" w:cs="Times New Roman"/>
          <w:sz w:val="32"/>
          <w:szCs w:val="32"/>
          <w:vertAlign w:val="superscript"/>
        </w:rPr>
        <w:t>2</w:t>
      </w:r>
      <w:r>
        <w:rPr>
          <w:rFonts w:ascii="Times New Roman" w:hAnsi="Times New Roman" w:eastAsia="仿宋" w:cs="Times New Roman"/>
          <w:sz w:val="32"/>
          <w:szCs w:val="32"/>
        </w:rPr>
        <w:t>）/园区新建公共建筑面积（m</w:t>
      </w:r>
      <w:r>
        <w:rPr>
          <w:rFonts w:ascii="Times New Roman" w:hAnsi="Times New Roman" w:eastAsia="仿宋" w:cs="Times New Roman"/>
          <w:sz w:val="32"/>
          <w:szCs w:val="32"/>
          <w:vertAlign w:val="superscript"/>
        </w:rPr>
        <w:t>2</w:t>
      </w:r>
      <w:r>
        <w:rPr>
          <w:rFonts w:ascii="Times New Roman" w:hAnsi="Times New Roman" w:eastAsia="仿宋" w:cs="Times New Roman"/>
          <w:sz w:val="32"/>
          <w:szCs w:val="32"/>
        </w:rPr>
        <w:t>）×100%。</w:t>
      </w:r>
    </w:p>
    <w:p w14:paraId="64D1CE39">
      <w:pPr>
        <w:ind w:firstLine="630"/>
        <w:rPr>
          <w:rFonts w:ascii="Times New Roman" w:hAnsi="Times New Roman" w:eastAsia="楷体" w:cs="Times New Roman"/>
          <w:sz w:val="32"/>
          <w:szCs w:val="32"/>
        </w:rPr>
      </w:pPr>
      <w:r>
        <w:rPr>
          <w:rFonts w:ascii="Times New Roman" w:hAnsi="Times New Roman" w:eastAsia="楷体" w:cs="Times New Roman"/>
          <w:sz w:val="32"/>
          <w:szCs w:val="32"/>
        </w:rPr>
        <w:t>（四）500米公交站点覆盖率（可选）</w:t>
      </w:r>
    </w:p>
    <w:p w14:paraId="66A5E264">
      <w:pPr>
        <w:ind w:firstLine="640" w:firstLineChars="200"/>
        <w:rPr>
          <w:rFonts w:ascii="Times New Roman" w:hAnsi="Times New Roman" w:eastAsia="仿宋" w:cs="Times New Roman"/>
          <w:sz w:val="32"/>
          <w:szCs w:val="32"/>
        </w:rPr>
      </w:pPr>
      <w:r>
        <w:rPr>
          <w:rFonts w:ascii="Times New Roman" w:hAnsi="Times New Roman" w:eastAsia="仿宋" w:cs="Times New Roman"/>
          <w:bCs/>
          <w:sz w:val="32"/>
          <w:szCs w:val="32"/>
        </w:rPr>
        <w:t>指标解释：</w:t>
      </w:r>
      <w:r>
        <w:rPr>
          <w:rFonts w:ascii="Times New Roman" w:hAnsi="Times New Roman" w:eastAsia="仿宋" w:cs="Times New Roman"/>
          <w:sz w:val="32"/>
          <w:szCs w:val="32"/>
        </w:rPr>
        <w:t>园区公共交通车站服务覆盖面积的总和占园区建成区面积的百分比。</w:t>
      </w:r>
    </w:p>
    <w:p w14:paraId="6B6F4E19">
      <w:pPr>
        <w:ind w:firstLine="640" w:firstLineChars="200"/>
        <w:rPr>
          <w:rFonts w:ascii="Times New Roman" w:hAnsi="Times New Roman" w:eastAsia="仿宋" w:cs="Times New Roman"/>
          <w:sz w:val="32"/>
          <w:szCs w:val="32"/>
        </w:rPr>
      </w:pPr>
      <w:r>
        <w:rPr>
          <w:rFonts w:ascii="Times New Roman" w:hAnsi="Times New Roman" w:eastAsia="仿宋" w:cs="Times New Roman"/>
          <w:bCs/>
          <w:sz w:val="32"/>
          <w:szCs w:val="32"/>
        </w:rPr>
        <w:t>计算公式：</w:t>
      </w:r>
      <w:r>
        <w:rPr>
          <w:rFonts w:ascii="Times New Roman" w:hAnsi="Times New Roman" w:eastAsia="仿宋" w:cs="Times New Roman"/>
          <w:sz w:val="32"/>
          <w:szCs w:val="32"/>
        </w:rPr>
        <w:t>具体根据GB 50220计算。</w:t>
      </w:r>
    </w:p>
    <w:p w14:paraId="011EE7EA">
      <w:pPr>
        <w:ind w:firstLine="630"/>
        <w:rPr>
          <w:rFonts w:ascii="Times New Roman" w:hAnsi="Times New Roman" w:eastAsia="楷体" w:cs="Times New Roman"/>
          <w:sz w:val="32"/>
          <w:szCs w:val="32"/>
        </w:rPr>
      </w:pPr>
      <w:r>
        <w:rPr>
          <w:rFonts w:ascii="Times New Roman" w:hAnsi="Times New Roman" w:eastAsia="楷体" w:cs="Times New Roman"/>
          <w:sz w:val="32"/>
          <w:szCs w:val="32"/>
        </w:rPr>
        <w:t>（五）节能与新能源公交车比例（可选）</w:t>
      </w:r>
    </w:p>
    <w:p w14:paraId="35BF24F1">
      <w:pPr>
        <w:ind w:firstLine="640" w:firstLineChars="200"/>
        <w:rPr>
          <w:rFonts w:ascii="Times New Roman" w:hAnsi="Times New Roman" w:eastAsia="仿宋" w:cs="Times New Roman"/>
          <w:sz w:val="32"/>
          <w:szCs w:val="32"/>
        </w:rPr>
      </w:pPr>
      <w:r>
        <w:rPr>
          <w:rFonts w:ascii="Times New Roman" w:hAnsi="Times New Roman" w:eastAsia="仿宋" w:cs="Times New Roman"/>
          <w:bCs/>
          <w:sz w:val="32"/>
          <w:szCs w:val="32"/>
        </w:rPr>
        <w:t>指标解释：</w:t>
      </w:r>
      <w:r>
        <w:rPr>
          <w:rFonts w:ascii="Times New Roman" w:hAnsi="Times New Roman" w:eastAsia="仿宋" w:cs="Times New Roman"/>
          <w:sz w:val="32"/>
          <w:szCs w:val="32"/>
        </w:rPr>
        <w:t>新能源公交车是指采用新型动力系统，完全或主要依靠新型能源驱动的公交车。非插电式混合动力公交车是指没有外接充电功能的混合动力公交车。新能源公交车和非插电式混合动力公交车合称节能与新能源公交车。</w:t>
      </w:r>
    </w:p>
    <w:p w14:paraId="1D6918AD">
      <w:pPr>
        <w:ind w:firstLine="640" w:firstLineChars="200"/>
        <w:rPr>
          <w:rFonts w:ascii="Times New Roman" w:hAnsi="Times New Roman" w:eastAsia="仿宋" w:cs="Times New Roman"/>
          <w:sz w:val="32"/>
          <w:szCs w:val="32"/>
        </w:rPr>
      </w:pPr>
      <w:r>
        <w:rPr>
          <w:rFonts w:ascii="Times New Roman" w:hAnsi="Times New Roman" w:eastAsia="仿宋" w:cs="Times New Roman"/>
          <w:bCs/>
          <w:sz w:val="32"/>
          <w:szCs w:val="32"/>
        </w:rPr>
        <w:t>计算公式：</w:t>
      </w:r>
      <w:r>
        <w:rPr>
          <w:rFonts w:ascii="Times New Roman" w:hAnsi="Times New Roman" w:eastAsia="仿宋" w:cs="Times New Roman"/>
          <w:sz w:val="32"/>
          <w:szCs w:val="32"/>
        </w:rPr>
        <w:t>节能与新能源公交车比例（%）=节能与新能源公交车数量（辆）/园区公交车总量（辆）×100%。</w:t>
      </w:r>
    </w:p>
    <w:p w14:paraId="7475CE35">
      <w:pPr>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五、产业绿色化指标（2个必选指标+1个可选指标）</w:t>
      </w:r>
    </w:p>
    <w:p w14:paraId="3D8EC735">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产业绿色化指标包括高新技术产业产值占园区工业总产值比例、绿色产业增加值占园区工业增加值比例2个必选指标，以及从人均工业增加值和现代服务业比例两个可选指标中选取1个指标。</w:t>
      </w:r>
    </w:p>
    <w:p w14:paraId="3D8ECAEC">
      <w:pPr>
        <w:ind w:firstLine="630"/>
        <w:rPr>
          <w:rFonts w:ascii="楷体" w:hAnsi="楷体" w:eastAsia="楷体" w:cs="楷体"/>
          <w:sz w:val="32"/>
          <w:szCs w:val="32"/>
        </w:rPr>
      </w:pPr>
      <w:r>
        <w:rPr>
          <w:rFonts w:ascii="楷体" w:hAnsi="楷体" w:eastAsia="楷体" w:cs="楷体"/>
          <w:sz w:val="32"/>
          <w:szCs w:val="32"/>
        </w:rPr>
        <w:t>（一）绿色产业增加值占园区工业增加值比例（必选）</w:t>
      </w:r>
    </w:p>
    <w:p w14:paraId="2219D45F">
      <w:pPr>
        <w:ind w:firstLine="640" w:firstLineChars="200"/>
        <w:rPr>
          <w:rFonts w:ascii="仿宋" w:hAnsi="仿宋" w:eastAsia="仿宋" w:cs="仿宋"/>
          <w:sz w:val="32"/>
          <w:szCs w:val="32"/>
        </w:rPr>
      </w:pPr>
      <w:r>
        <w:rPr>
          <w:rFonts w:hint="eastAsia" w:ascii="仿宋" w:hAnsi="仿宋" w:eastAsia="仿宋" w:cs="仿宋"/>
          <w:bCs/>
          <w:sz w:val="32"/>
          <w:szCs w:val="32"/>
        </w:rPr>
        <w:t>指标解释：</w:t>
      </w:r>
      <w:r>
        <w:rPr>
          <w:rFonts w:hint="eastAsia" w:ascii="仿宋" w:hAnsi="仿宋" w:eastAsia="仿宋" w:cs="仿宋"/>
          <w:sz w:val="32"/>
          <w:szCs w:val="32"/>
        </w:rPr>
        <w:t>园区内绿色产业的增加值与园区工业增加值的比值。其中，绿色产业增加值是依据国家统计局《战略性新兴产业分类》中关于节能环保产业和新能源产业的具体分类统计得到。</w:t>
      </w:r>
    </w:p>
    <w:p w14:paraId="630F6DCC">
      <w:pPr>
        <w:ind w:firstLine="640" w:firstLineChars="200"/>
        <w:rPr>
          <w:rFonts w:ascii="Times New Roman" w:hAnsi="Times New Roman" w:eastAsia="仿宋" w:cs="Times New Roman"/>
          <w:sz w:val="32"/>
          <w:szCs w:val="32"/>
        </w:rPr>
      </w:pPr>
      <w:r>
        <w:rPr>
          <w:rFonts w:hint="eastAsia" w:ascii="仿宋" w:hAnsi="仿宋" w:eastAsia="仿宋" w:cs="仿宋"/>
          <w:bCs/>
          <w:sz w:val="32"/>
          <w:szCs w:val="32"/>
        </w:rPr>
        <w:t>计算公式：</w:t>
      </w:r>
      <w:r>
        <w:rPr>
          <w:rFonts w:hint="eastAsia" w:ascii="仿宋" w:hAnsi="仿宋" w:eastAsia="仿宋" w:cs="仿宋"/>
          <w:sz w:val="32"/>
          <w:szCs w:val="32"/>
        </w:rPr>
        <w:t>绿色产业增加值占园区工业增加值</w:t>
      </w:r>
      <w:r>
        <w:rPr>
          <w:rFonts w:ascii="Times New Roman" w:hAnsi="Times New Roman" w:eastAsia="仿宋" w:cs="Times New Roman"/>
          <w:sz w:val="32"/>
          <w:szCs w:val="32"/>
        </w:rPr>
        <w:t>比例（%）=绿色产业增加值（万元）/园区工业增加值（万元）×100%。</w:t>
      </w:r>
    </w:p>
    <w:p w14:paraId="482E168C">
      <w:pPr>
        <w:ind w:firstLine="630"/>
        <w:rPr>
          <w:rFonts w:ascii="Times New Roman" w:hAnsi="Times New Roman" w:eastAsia="楷体" w:cs="Times New Roman"/>
          <w:sz w:val="32"/>
          <w:szCs w:val="32"/>
        </w:rPr>
      </w:pPr>
      <w:r>
        <w:rPr>
          <w:rFonts w:ascii="Times New Roman" w:hAnsi="Times New Roman" w:eastAsia="楷体" w:cs="Times New Roman"/>
          <w:sz w:val="32"/>
          <w:szCs w:val="32"/>
        </w:rPr>
        <w:t>（二）高新技术产业产值占园区工业总产值比例（必选）</w:t>
      </w:r>
    </w:p>
    <w:p w14:paraId="0AD1B057">
      <w:pPr>
        <w:ind w:firstLine="640" w:firstLineChars="200"/>
        <w:rPr>
          <w:rFonts w:ascii="Times New Roman" w:hAnsi="Times New Roman" w:eastAsia="仿宋" w:cs="Times New Roman"/>
          <w:sz w:val="32"/>
          <w:szCs w:val="32"/>
        </w:rPr>
      </w:pPr>
      <w:r>
        <w:rPr>
          <w:rFonts w:ascii="Times New Roman" w:hAnsi="Times New Roman" w:eastAsia="仿宋" w:cs="Times New Roman"/>
          <w:bCs/>
          <w:sz w:val="32"/>
          <w:szCs w:val="32"/>
        </w:rPr>
        <w:t>指标解释：</w:t>
      </w:r>
      <w:r>
        <w:rPr>
          <w:rFonts w:ascii="Times New Roman" w:hAnsi="Times New Roman" w:eastAsia="仿宋" w:cs="Times New Roman"/>
          <w:sz w:val="32"/>
          <w:szCs w:val="32"/>
        </w:rPr>
        <w:t>园区内高新技术企业的工业总产值占园区工业总产值的比值。其中，高新技术企业是指依据《高新技术企业认定管理办法》认定的工业范畴的高新技术企业。</w:t>
      </w:r>
    </w:p>
    <w:p w14:paraId="297B49E6">
      <w:pPr>
        <w:ind w:firstLine="640" w:firstLineChars="200"/>
        <w:rPr>
          <w:rFonts w:ascii="Times New Roman" w:hAnsi="Times New Roman" w:eastAsia="仿宋" w:cs="Times New Roman"/>
          <w:sz w:val="32"/>
          <w:szCs w:val="32"/>
        </w:rPr>
      </w:pPr>
      <w:r>
        <w:rPr>
          <w:rFonts w:ascii="Times New Roman" w:hAnsi="Times New Roman" w:eastAsia="仿宋" w:cs="Times New Roman"/>
          <w:bCs/>
          <w:sz w:val="32"/>
          <w:szCs w:val="32"/>
        </w:rPr>
        <w:t>计算公式：</w:t>
      </w:r>
      <w:r>
        <w:rPr>
          <w:rFonts w:ascii="Times New Roman" w:hAnsi="Times New Roman" w:eastAsia="仿宋" w:cs="Times New Roman"/>
          <w:sz w:val="32"/>
          <w:szCs w:val="32"/>
        </w:rPr>
        <w:t>高新技术产业产值占园区工业总产值比例</w:t>
      </w:r>
    </w:p>
    <w:p w14:paraId="7539DF47">
      <w:pPr>
        <w:rPr>
          <w:rFonts w:ascii="Times New Roman" w:hAnsi="Times New Roman" w:eastAsia="仿宋" w:cs="Times New Roman"/>
          <w:sz w:val="32"/>
          <w:szCs w:val="32"/>
        </w:rPr>
      </w:pPr>
      <w:r>
        <w:rPr>
          <w:rFonts w:ascii="Times New Roman" w:hAnsi="Times New Roman" w:eastAsia="仿宋" w:cs="Times New Roman"/>
          <w:sz w:val="32"/>
          <w:szCs w:val="32"/>
        </w:rPr>
        <w:t>（%）=高新技术企业的工业产值之和（万元）/工业园区工业总产值（万元）×100%。</w:t>
      </w:r>
    </w:p>
    <w:p w14:paraId="36D03773">
      <w:pPr>
        <w:ind w:firstLine="630"/>
        <w:rPr>
          <w:rFonts w:ascii="Times New Roman" w:hAnsi="Times New Roman" w:eastAsia="楷体" w:cs="Times New Roman"/>
          <w:sz w:val="32"/>
          <w:szCs w:val="32"/>
        </w:rPr>
      </w:pPr>
      <w:r>
        <w:rPr>
          <w:rFonts w:ascii="Times New Roman" w:hAnsi="Times New Roman" w:eastAsia="楷体" w:cs="Times New Roman"/>
          <w:sz w:val="32"/>
          <w:szCs w:val="32"/>
        </w:rPr>
        <w:t>（三）人均工业增加值（可选）</w:t>
      </w:r>
    </w:p>
    <w:p w14:paraId="5E8359FA">
      <w:pPr>
        <w:ind w:firstLine="640" w:firstLineChars="200"/>
        <w:rPr>
          <w:rFonts w:ascii="仿宋" w:hAnsi="仿宋" w:eastAsia="仿宋" w:cs="仿宋"/>
          <w:sz w:val="32"/>
          <w:szCs w:val="32"/>
        </w:rPr>
      </w:pPr>
      <w:r>
        <w:rPr>
          <w:rFonts w:hint="eastAsia" w:ascii="仿宋" w:hAnsi="仿宋" w:eastAsia="仿宋" w:cs="仿宋"/>
          <w:bCs/>
          <w:sz w:val="32"/>
          <w:szCs w:val="32"/>
        </w:rPr>
        <w:t>指标解释：</w:t>
      </w:r>
      <w:r>
        <w:rPr>
          <w:rFonts w:hint="eastAsia" w:ascii="仿宋" w:hAnsi="仿宋" w:eastAsia="仿宋" w:cs="仿宋"/>
          <w:sz w:val="32"/>
          <w:szCs w:val="32"/>
        </w:rPr>
        <w:t>园区工业增加值与园区内工业企业从业人数的比值。</w:t>
      </w:r>
    </w:p>
    <w:p w14:paraId="70FCEF28">
      <w:pPr>
        <w:ind w:firstLine="640" w:firstLineChars="200"/>
        <w:rPr>
          <w:rFonts w:ascii="Times New Roman" w:hAnsi="Times New Roman" w:eastAsia="仿宋_GB2312" w:cs="Times New Roman"/>
          <w:sz w:val="32"/>
          <w:szCs w:val="32"/>
        </w:rPr>
      </w:pPr>
      <w:r>
        <w:rPr>
          <w:rFonts w:hint="eastAsia" w:ascii="仿宋" w:hAnsi="仿宋" w:eastAsia="仿宋" w:cs="仿宋"/>
          <w:bCs/>
          <w:sz w:val="32"/>
          <w:szCs w:val="32"/>
        </w:rPr>
        <w:t>计算公式：</w:t>
      </w:r>
      <w:r>
        <w:rPr>
          <w:rFonts w:hint="eastAsia" w:ascii="仿宋" w:hAnsi="仿宋" w:eastAsia="仿宋" w:cs="仿宋"/>
          <w:sz w:val="32"/>
          <w:szCs w:val="32"/>
        </w:rPr>
        <w:t>人均工业增加值（万元/人）=园区工业增加值（万元）/园区年末工业企业从业人数（人）。</w:t>
      </w:r>
    </w:p>
    <w:p w14:paraId="73E07095">
      <w:pPr>
        <w:ind w:firstLine="630"/>
        <w:rPr>
          <w:rFonts w:ascii="楷体" w:hAnsi="楷体" w:eastAsia="楷体" w:cs="楷体"/>
          <w:sz w:val="32"/>
          <w:szCs w:val="32"/>
        </w:rPr>
      </w:pPr>
      <w:r>
        <w:rPr>
          <w:rFonts w:ascii="楷体" w:hAnsi="楷体" w:eastAsia="楷体" w:cs="楷体"/>
          <w:sz w:val="32"/>
          <w:szCs w:val="32"/>
        </w:rPr>
        <w:t>（四）现代服务业比例（可选）</w:t>
      </w:r>
    </w:p>
    <w:p w14:paraId="66634D89">
      <w:pPr>
        <w:ind w:firstLine="640" w:firstLineChars="200"/>
        <w:rPr>
          <w:rFonts w:ascii="Times New Roman" w:hAnsi="Times New Roman" w:eastAsia="仿宋" w:cs="Times New Roman"/>
          <w:sz w:val="32"/>
          <w:szCs w:val="32"/>
        </w:rPr>
      </w:pPr>
      <w:r>
        <w:rPr>
          <w:rFonts w:hint="eastAsia" w:ascii="仿宋" w:hAnsi="仿宋" w:eastAsia="仿宋" w:cs="仿宋"/>
          <w:bCs/>
          <w:sz w:val="32"/>
          <w:szCs w:val="32"/>
        </w:rPr>
        <w:t>指标解释：</w:t>
      </w:r>
      <w:r>
        <w:rPr>
          <w:rFonts w:hint="eastAsia" w:ascii="仿宋" w:hAnsi="仿宋" w:eastAsia="仿宋" w:cs="仿宋"/>
          <w:sz w:val="32"/>
          <w:szCs w:val="32"/>
        </w:rPr>
        <w:t>为适应现代园区发展的需求，而产生和发展起来的具有高技术含量和高文化含量的服务业。主要包括基础服务（包括通信服务和信息服务）、生产和市场服务（包括金融、物流、批发、电子商务、农业支撑服务以及中介和咨询等专业服</w:t>
      </w:r>
      <w:r>
        <w:rPr>
          <w:rFonts w:ascii="Times New Roman" w:hAnsi="Times New Roman" w:eastAsia="仿宋" w:cs="Times New Roman"/>
          <w:sz w:val="32"/>
          <w:szCs w:val="32"/>
        </w:rPr>
        <w:t>务）、个人消费服务（包括教育、医疗保健、住宿、餐饮、文化娱乐、旅游、房地产、商品零售等）和公共服务（包括政府的公共管理服务、基础教育、公共卫生、医疗以及公益性信息服务等）。</w:t>
      </w:r>
    </w:p>
    <w:p w14:paraId="35D5DFF0">
      <w:pPr>
        <w:ind w:firstLine="640" w:firstLineChars="200"/>
        <w:rPr>
          <w:rFonts w:ascii="Times New Roman" w:hAnsi="Times New Roman" w:eastAsia="仿宋" w:cs="Times New Roman"/>
          <w:sz w:val="32"/>
          <w:szCs w:val="32"/>
        </w:rPr>
      </w:pPr>
      <w:r>
        <w:rPr>
          <w:rFonts w:ascii="Times New Roman" w:hAnsi="Times New Roman" w:eastAsia="仿宋" w:cs="Times New Roman"/>
          <w:bCs/>
          <w:sz w:val="32"/>
          <w:szCs w:val="32"/>
        </w:rPr>
        <w:t>计算公式：</w:t>
      </w:r>
      <w:r>
        <w:rPr>
          <w:rFonts w:ascii="Times New Roman" w:hAnsi="Times New Roman" w:eastAsia="仿宋" w:cs="Times New Roman"/>
          <w:sz w:val="32"/>
          <w:szCs w:val="32"/>
        </w:rPr>
        <w:t>现代服务业比例（%）=现代服务业增加值（万元）/园区GDP×100%。</w:t>
      </w:r>
    </w:p>
    <w:p w14:paraId="792E9685">
      <w:pPr>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六、生态环境绿色化指标（5个必选指标+1个可选指标）</w:t>
      </w:r>
    </w:p>
    <w:p w14:paraId="152BC285">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生态环境绿色化指标包括工业固体废弃物（含危废）处置利用率、万元工业增加值碳排放量消减率、单位工业增加值废水排放量、主要污染物弹性系数、园区空气质量优良率6个必选指标，以及从道路遮荫比例、露天停车场遮荫比例2个可选指标选取1个指标。</w:t>
      </w:r>
    </w:p>
    <w:p w14:paraId="0AE879B9">
      <w:pPr>
        <w:ind w:firstLine="630"/>
        <w:rPr>
          <w:rFonts w:ascii="楷体" w:hAnsi="楷体" w:eastAsia="楷体" w:cs="楷体"/>
          <w:sz w:val="32"/>
          <w:szCs w:val="32"/>
        </w:rPr>
      </w:pPr>
      <w:r>
        <w:rPr>
          <w:rFonts w:ascii="楷体" w:hAnsi="楷体" w:eastAsia="楷体" w:cs="楷体"/>
          <w:sz w:val="32"/>
          <w:szCs w:val="32"/>
        </w:rPr>
        <w:t>（一）工业固体废弃物（含危废）处置利用率（必选）</w:t>
      </w:r>
    </w:p>
    <w:p w14:paraId="18BA0ED0">
      <w:pPr>
        <w:ind w:firstLine="640" w:firstLineChars="200"/>
        <w:rPr>
          <w:rFonts w:ascii="仿宋" w:hAnsi="仿宋" w:eastAsia="仿宋" w:cs="仿宋"/>
          <w:sz w:val="32"/>
          <w:szCs w:val="32"/>
        </w:rPr>
      </w:pPr>
      <w:r>
        <w:rPr>
          <w:rFonts w:hint="eastAsia" w:ascii="仿宋" w:hAnsi="仿宋" w:eastAsia="仿宋" w:cs="仿宋"/>
          <w:bCs/>
          <w:sz w:val="32"/>
          <w:szCs w:val="32"/>
        </w:rPr>
        <w:t>指标解释：</w:t>
      </w:r>
      <w:r>
        <w:rPr>
          <w:rFonts w:hint="eastAsia" w:ascii="仿宋" w:hAnsi="仿宋" w:eastAsia="仿宋" w:cs="仿宋"/>
          <w:sz w:val="32"/>
          <w:szCs w:val="32"/>
        </w:rPr>
        <w:t>园区范围内各工业企业安全处置、综合利用及安全贮存的工业固体废物量（含危险废物）之和与当年工业固体废物总产生量的比值。</w:t>
      </w:r>
    </w:p>
    <w:p w14:paraId="0DC1F343">
      <w:pPr>
        <w:ind w:firstLine="640" w:firstLineChars="200"/>
        <w:rPr>
          <w:rFonts w:ascii="Times New Roman" w:hAnsi="Times New Roman" w:eastAsia="仿宋_GB2312" w:cs="Times New Roman"/>
          <w:sz w:val="32"/>
          <w:szCs w:val="32"/>
        </w:rPr>
      </w:pPr>
      <w:r>
        <w:rPr>
          <w:rFonts w:hint="eastAsia" w:ascii="仿宋" w:hAnsi="仿宋" w:eastAsia="仿宋" w:cs="仿宋"/>
          <w:bCs/>
          <w:sz w:val="32"/>
          <w:szCs w:val="32"/>
        </w:rPr>
        <w:t>计算公式：</w:t>
      </w:r>
      <w:r>
        <w:rPr>
          <w:rFonts w:hint="eastAsia" w:ascii="仿宋" w:hAnsi="仿宋" w:eastAsia="仿宋" w:cs="仿宋"/>
          <w:sz w:val="32"/>
          <w:szCs w:val="32"/>
        </w:rPr>
        <w:t>工业固体废弃物（含危</w:t>
      </w:r>
      <w:r>
        <w:rPr>
          <w:rFonts w:ascii="Times New Roman" w:hAnsi="Times New Roman" w:eastAsia="仿宋" w:cs="Times New Roman"/>
          <w:sz w:val="32"/>
          <w:szCs w:val="32"/>
        </w:rPr>
        <w:t>废）处置利用率（%）=园区当年工业固体废物处置利用量（含危险废物）（t）/园区当年工业固体废物总产生量（t）×100%。</w:t>
      </w:r>
    </w:p>
    <w:p w14:paraId="019A0C89">
      <w:pPr>
        <w:ind w:firstLine="630"/>
        <w:rPr>
          <w:rFonts w:ascii="楷体" w:hAnsi="楷体" w:eastAsia="楷体" w:cs="楷体"/>
          <w:sz w:val="32"/>
          <w:szCs w:val="32"/>
        </w:rPr>
      </w:pPr>
      <w:r>
        <w:rPr>
          <w:rFonts w:ascii="楷体" w:hAnsi="楷体" w:eastAsia="楷体" w:cs="楷体"/>
          <w:sz w:val="32"/>
          <w:szCs w:val="32"/>
        </w:rPr>
        <w:t>（二）万元工业增加值碳排放量消减率（必选）</w:t>
      </w:r>
    </w:p>
    <w:p w14:paraId="2DCFC7F3">
      <w:pPr>
        <w:ind w:firstLine="640" w:firstLineChars="200"/>
        <w:rPr>
          <w:rFonts w:ascii="Times New Roman" w:hAnsi="Times New Roman" w:eastAsia="仿宋" w:cs="Times New Roman"/>
          <w:sz w:val="32"/>
          <w:szCs w:val="32"/>
        </w:rPr>
      </w:pPr>
      <w:r>
        <w:rPr>
          <w:rFonts w:hint="eastAsia" w:ascii="仿宋" w:hAnsi="仿宋" w:eastAsia="仿宋" w:cs="仿宋"/>
          <w:bCs/>
          <w:sz w:val="32"/>
          <w:szCs w:val="32"/>
        </w:rPr>
        <w:t>指标解释：</w:t>
      </w:r>
      <w:r>
        <w:rPr>
          <w:rFonts w:hint="eastAsia" w:ascii="仿宋" w:hAnsi="仿宋" w:eastAsia="仿宋" w:cs="仿宋"/>
          <w:sz w:val="32"/>
          <w:szCs w:val="32"/>
        </w:rPr>
        <w:t>园区内工业企业产生单位工业增加值所排放的二氧化碳当量的创建期年均消减率。创建期是指绿色工业园区创建周期。</w:t>
      </w:r>
    </w:p>
    <w:p w14:paraId="47D0D25B">
      <w:pPr>
        <w:ind w:firstLine="640" w:firstLineChars="200"/>
        <w:rPr>
          <w:rFonts w:ascii="Times New Roman" w:hAnsi="Times New Roman" w:eastAsia="仿宋" w:cs="Times New Roman"/>
          <w:sz w:val="32"/>
          <w:szCs w:val="32"/>
        </w:rPr>
      </w:pPr>
      <w:r>
        <w:rPr>
          <w:rFonts w:ascii="Times New Roman" w:hAnsi="Times New Roman" w:eastAsia="仿宋" w:cs="Times New Roman"/>
          <w:bCs/>
          <w:sz w:val="32"/>
          <w:szCs w:val="32"/>
        </w:rPr>
        <w:t>计算公式：</w:t>
      </w:r>
      <w:r>
        <w:rPr>
          <w:rFonts w:ascii="Times New Roman" w:hAnsi="Times New Roman" w:eastAsia="仿宋" w:cs="Times New Roman"/>
          <w:sz w:val="32"/>
          <w:szCs w:val="32"/>
        </w:rPr>
        <w:t>万元工业增加值碳排放量消减率（%）=[1-（验收年单位工业增加值二氧化碳排放量(tCO</w:t>
      </w:r>
      <w:r>
        <w:rPr>
          <w:rFonts w:ascii="Times New Roman" w:hAnsi="Times New Roman" w:eastAsia="仿宋" w:cs="Times New Roman"/>
          <w:sz w:val="32"/>
          <w:szCs w:val="32"/>
          <w:vertAlign w:val="subscript"/>
        </w:rPr>
        <w:t>2-eq</w:t>
      </w:r>
      <w:r>
        <w:rPr>
          <w:rFonts w:ascii="Times New Roman" w:hAnsi="Times New Roman" w:eastAsia="仿宋" w:cs="Times New Roman"/>
          <w:sz w:val="32"/>
          <w:szCs w:val="32"/>
        </w:rPr>
        <w:t>/万元)/创建基准年单位工业增加值二氧化碳排放量(tCO</w:t>
      </w:r>
      <w:r>
        <w:rPr>
          <w:rFonts w:ascii="Times New Roman" w:hAnsi="Times New Roman" w:eastAsia="仿宋" w:cs="Times New Roman"/>
          <w:sz w:val="32"/>
          <w:szCs w:val="32"/>
          <w:vertAlign w:val="subscript"/>
        </w:rPr>
        <w:t>2-eq</w:t>
      </w:r>
      <w:r>
        <w:rPr>
          <w:rFonts w:ascii="Times New Roman" w:hAnsi="Times New Roman" w:eastAsia="仿宋" w:cs="Times New Roman"/>
          <w:sz w:val="32"/>
          <w:szCs w:val="32"/>
        </w:rPr>
        <w:t>/万元)）</w:t>
      </w:r>
      <w:r>
        <w:rPr>
          <w:rFonts w:ascii="Times New Roman" w:hAnsi="Times New Roman" w:eastAsia="仿宋" w:cs="Times New Roman"/>
          <w:sz w:val="32"/>
          <w:szCs w:val="32"/>
          <w:vertAlign w:val="superscript"/>
        </w:rPr>
        <w:t>1/创建周期</w:t>
      </w:r>
      <w:r>
        <w:rPr>
          <w:rFonts w:ascii="Times New Roman" w:hAnsi="Times New Roman" w:eastAsia="仿宋" w:cs="Times New Roman"/>
          <w:sz w:val="32"/>
          <w:szCs w:val="32"/>
        </w:rPr>
        <w:t>]×100%。</w:t>
      </w:r>
    </w:p>
    <w:p w14:paraId="5AA3D94F">
      <w:pPr>
        <w:ind w:firstLine="630"/>
        <w:rPr>
          <w:rFonts w:ascii="楷体" w:hAnsi="楷体" w:eastAsia="楷体" w:cs="楷体"/>
          <w:sz w:val="32"/>
          <w:szCs w:val="32"/>
        </w:rPr>
      </w:pPr>
      <w:r>
        <w:rPr>
          <w:rFonts w:ascii="楷体" w:hAnsi="楷体" w:eastAsia="楷体" w:cs="楷体"/>
          <w:sz w:val="32"/>
          <w:szCs w:val="32"/>
        </w:rPr>
        <w:t>（三）单位工业增加值废水排放量（必选）</w:t>
      </w:r>
    </w:p>
    <w:p w14:paraId="37B80785">
      <w:pPr>
        <w:ind w:firstLine="640" w:firstLineChars="200"/>
        <w:rPr>
          <w:rFonts w:ascii="仿宋" w:hAnsi="仿宋" w:eastAsia="仿宋" w:cs="仿宋"/>
          <w:sz w:val="32"/>
          <w:szCs w:val="32"/>
        </w:rPr>
      </w:pPr>
      <w:r>
        <w:rPr>
          <w:rFonts w:hint="eastAsia" w:ascii="仿宋" w:hAnsi="仿宋" w:eastAsia="仿宋" w:cs="仿宋"/>
          <w:bCs/>
          <w:sz w:val="32"/>
          <w:szCs w:val="32"/>
        </w:rPr>
        <w:t>指标解释：</w:t>
      </w:r>
      <w:r>
        <w:rPr>
          <w:rFonts w:hint="eastAsia" w:ascii="仿宋" w:hAnsi="仿宋" w:eastAsia="仿宋" w:cs="仿宋"/>
          <w:sz w:val="32"/>
          <w:szCs w:val="32"/>
        </w:rPr>
        <w:t>指园区单位工业增加值排放的工业废水量，不包括企业梯级利用的废水和园区内居民排放的生活废水。</w:t>
      </w:r>
    </w:p>
    <w:p w14:paraId="0A69814C">
      <w:pPr>
        <w:ind w:firstLine="640" w:firstLineChars="200"/>
        <w:rPr>
          <w:rFonts w:ascii="Times New Roman" w:hAnsi="Times New Roman" w:eastAsia="仿宋_GB2312" w:cs="Times New Roman"/>
          <w:sz w:val="32"/>
          <w:szCs w:val="32"/>
        </w:rPr>
      </w:pPr>
      <w:r>
        <w:rPr>
          <w:rFonts w:hint="eastAsia" w:ascii="仿宋" w:hAnsi="仿宋" w:eastAsia="仿宋" w:cs="仿宋"/>
          <w:bCs/>
          <w:sz w:val="32"/>
          <w:szCs w:val="32"/>
        </w:rPr>
        <w:t>计算公式</w:t>
      </w:r>
      <w:r>
        <w:rPr>
          <w:rFonts w:hint="eastAsia" w:ascii="仿宋" w:hAnsi="仿宋" w:eastAsia="仿宋" w:cs="仿宋"/>
          <w:sz w:val="32"/>
          <w:szCs w:val="32"/>
        </w:rPr>
        <w:t>：单位工业增加值废水排放量（t/万元）=园区工业废水排放总量（t）/园区工业增加值总量（万元）。</w:t>
      </w:r>
    </w:p>
    <w:p w14:paraId="3DBE76DB">
      <w:pPr>
        <w:ind w:firstLine="630"/>
        <w:rPr>
          <w:rFonts w:ascii="楷体" w:hAnsi="楷体" w:eastAsia="楷体" w:cs="楷体"/>
          <w:sz w:val="32"/>
          <w:szCs w:val="32"/>
        </w:rPr>
      </w:pPr>
      <w:r>
        <w:rPr>
          <w:rFonts w:ascii="楷体" w:hAnsi="楷体" w:eastAsia="楷体" w:cs="楷体"/>
          <w:sz w:val="32"/>
          <w:szCs w:val="32"/>
        </w:rPr>
        <w:t>（四）主要污染物弹性系数（必选）</w:t>
      </w:r>
    </w:p>
    <w:p w14:paraId="5670CCC3">
      <w:pPr>
        <w:ind w:firstLine="640" w:firstLineChars="200"/>
        <w:rPr>
          <w:rFonts w:ascii="Times New Roman" w:hAnsi="Times New Roman" w:eastAsia="仿宋" w:cs="Times New Roman"/>
          <w:sz w:val="32"/>
          <w:szCs w:val="32"/>
        </w:rPr>
      </w:pPr>
      <w:r>
        <w:rPr>
          <w:rFonts w:hint="eastAsia" w:ascii="仿宋" w:hAnsi="仿宋" w:eastAsia="仿宋" w:cs="仿宋"/>
          <w:bCs/>
          <w:sz w:val="32"/>
          <w:szCs w:val="32"/>
        </w:rPr>
        <w:t>指标解释</w:t>
      </w:r>
      <w:r>
        <w:rPr>
          <w:rFonts w:hint="eastAsia" w:ascii="仿宋" w:hAnsi="仿宋" w:eastAsia="仿宋" w:cs="仿宋"/>
          <w:sz w:val="32"/>
          <w:szCs w:val="32"/>
        </w:rPr>
        <w:t>：指园区内工业企业排放的各类主要污染物排放弹性系数的算术平均值。其中，主要污染物指从创建基准年到</w:t>
      </w:r>
      <w:r>
        <w:rPr>
          <w:rFonts w:ascii="Times New Roman" w:hAnsi="Times New Roman" w:eastAsia="仿宋" w:cs="Times New Roman"/>
          <w:sz w:val="32"/>
          <w:szCs w:val="32"/>
        </w:rPr>
        <w:t>验收年，国家政策明确要求总量减排和控制的污染物，包括COD、SO</w:t>
      </w:r>
      <w:r>
        <w:rPr>
          <w:rFonts w:ascii="Times New Roman" w:hAnsi="Times New Roman" w:eastAsia="仿宋" w:cs="Times New Roman"/>
          <w:sz w:val="32"/>
          <w:szCs w:val="32"/>
          <w:vertAlign w:val="subscript"/>
        </w:rPr>
        <w:t>2</w:t>
      </w:r>
      <w:r>
        <w:rPr>
          <w:rFonts w:ascii="Times New Roman" w:hAnsi="Times New Roman" w:eastAsia="仿宋" w:cs="Times New Roman"/>
          <w:sz w:val="32"/>
          <w:szCs w:val="32"/>
        </w:rPr>
        <w:t>、氨氮、NO</w:t>
      </w:r>
      <w:r>
        <w:rPr>
          <w:rFonts w:ascii="Times New Roman" w:hAnsi="Times New Roman" w:eastAsia="仿宋" w:cs="Times New Roman"/>
          <w:sz w:val="32"/>
          <w:szCs w:val="32"/>
          <w:vertAlign w:val="subscript"/>
        </w:rPr>
        <w:t>X</w:t>
      </w:r>
      <w:r>
        <w:rPr>
          <w:rFonts w:ascii="Times New Roman" w:hAnsi="Times New Roman" w:eastAsia="仿宋" w:cs="Times New Roman"/>
          <w:sz w:val="32"/>
          <w:szCs w:val="32"/>
        </w:rPr>
        <w:t>等。某种主要污染物排放弹性系数，指园区内工业企业排放的某一种主要污染物排放总量的三年年均增长率与工业增加值三年年均增长率的比值。</w:t>
      </w:r>
    </w:p>
    <w:p w14:paraId="292EA747">
      <w:pPr>
        <w:ind w:firstLine="640" w:firstLineChars="200"/>
        <w:rPr>
          <w:rFonts w:ascii="Times New Roman" w:hAnsi="Times New Roman" w:eastAsia="仿宋" w:cs="Times New Roman"/>
          <w:sz w:val="32"/>
          <w:szCs w:val="32"/>
        </w:rPr>
      </w:pPr>
      <w:r>
        <w:rPr>
          <w:rFonts w:ascii="Times New Roman" w:hAnsi="Times New Roman" w:eastAsia="仿宋" w:cs="Times New Roman"/>
          <w:bCs/>
          <w:sz w:val="32"/>
          <w:szCs w:val="32"/>
        </w:rPr>
        <w:t>计算公式</w:t>
      </w:r>
      <w:r>
        <w:rPr>
          <w:rFonts w:ascii="Times New Roman" w:hAnsi="Times New Roman" w:eastAsia="仿宋" w:cs="Times New Roman"/>
          <w:sz w:val="32"/>
          <w:szCs w:val="32"/>
        </w:rPr>
        <w:t>：某种污染物排放弹性系数=某种污染物排放量创建周期年均增长率（%）/园区工业增加值创建周期年均增长率（%）；主要污染物排放弹性系数=主要污染物排放弹性系数之和/污染物个数。</w:t>
      </w:r>
    </w:p>
    <w:p w14:paraId="2E5894D7">
      <w:pPr>
        <w:ind w:firstLine="630"/>
        <w:rPr>
          <w:rFonts w:ascii="Times New Roman" w:hAnsi="Times New Roman" w:eastAsia="楷体" w:cs="Times New Roman"/>
          <w:sz w:val="32"/>
          <w:szCs w:val="32"/>
        </w:rPr>
      </w:pPr>
      <w:r>
        <w:rPr>
          <w:rFonts w:ascii="Times New Roman" w:hAnsi="Times New Roman" w:eastAsia="楷体" w:cs="Times New Roman"/>
          <w:sz w:val="32"/>
          <w:szCs w:val="32"/>
        </w:rPr>
        <w:t>（五）园区空气质量优良率（必选）</w:t>
      </w:r>
    </w:p>
    <w:p w14:paraId="794E948A">
      <w:pPr>
        <w:ind w:firstLine="640" w:firstLineChars="200"/>
        <w:rPr>
          <w:rFonts w:ascii="Times New Roman" w:hAnsi="Times New Roman" w:eastAsia="仿宋_GB2312" w:cs="Times New Roman"/>
          <w:sz w:val="32"/>
          <w:szCs w:val="32"/>
        </w:rPr>
      </w:pPr>
      <w:r>
        <w:rPr>
          <w:rFonts w:ascii="Times New Roman" w:hAnsi="Times New Roman" w:eastAsia="仿宋" w:cs="Times New Roman"/>
          <w:bCs/>
          <w:sz w:val="32"/>
          <w:szCs w:val="32"/>
        </w:rPr>
        <w:t>指标解释：</w:t>
      </w:r>
      <w:r>
        <w:rPr>
          <w:rFonts w:ascii="Times New Roman" w:hAnsi="Times New Roman" w:eastAsia="仿宋" w:cs="Times New Roman"/>
          <w:sz w:val="32"/>
          <w:szCs w:val="32"/>
        </w:rPr>
        <w:t>指空气质量优良天数占全年天数的比例。空气质量优良等级按照GB 3085《环境空气质量标准》确定。</w:t>
      </w:r>
    </w:p>
    <w:p w14:paraId="1CCAD93A">
      <w:pPr>
        <w:ind w:firstLine="630"/>
        <w:rPr>
          <w:rFonts w:ascii="Times New Roman" w:hAnsi="Times New Roman" w:eastAsia="楷体" w:cs="Times New Roman"/>
          <w:sz w:val="32"/>
          <w:szCs w:val="32"/>
        </w:rPr>
      </w:pPr>
      <w:r>
        <w:rPr>
          <w:rFonts w:ascii="Times New Roman" w:hAnsi="Times New Roman" w:eastAsia="楷体" w:cs="Times New Roman"/>
          <w:sz w:val="32"/>
          <w:szCs w:val="32"/>
        </w:rPr>
        <w:t>（六）绿化覆盖率（可选）</w:t>
      </w:r>
    </w:p>
    <w:p w14:paraId="48EBE2D0">
      <w:pPr>
        <w:ind w:firstLine="640" w:firstLineChars="200"/>
        <w:rPr>
          <w:rFonts w:ascii="Times New Roman" w:hAnsi="Times New Roman" w:eastAsia="仿宋" w:cs="Times New Roman"/>
          <w:sz w:val="32"/>
          <w:szCs w:val="32"/>
        </w:rPr>
      </w:pPr>
      <w:r>
        <w:rPr>
          <w:rFonts w:ascii="Times New Roman" w:hAnsi="Times New Roman" w:eastAsia="仿宋" w:cs="Times New Roman"/>
          <w:bCs/>
          <w:sz w:val="32"/>
          <w:szCs w:val="32"/>
        </w:rPr>
        <w:t>指标解释：</w:t>
      </w:r>
      <w:r>
        <w:rPr>
          <w:rFonts w:ascii="Times New Roman" w:hAnsi="Times New Roman" w:eastAsia="仿宋" w:cs="Times New Roman"/>
          <w:sz w:val="32"/>
          <w:szCs w:val="32"/>
        </w:rPr>
        <w:t>园区内各类绿地总面积与园区规划范围内用地总面积的比值。</w:t>
      </w:r>
    </w:p>
    <w:p w14:paraId="57B4FDCC">
      <w:pPr>
        <w:ind w:firstLine="640" w:firstLineChars="200"/>
        <w:rPr>
          <w:rFonts w:ascii="Times New Roman" w:hAnsi="Times New Roman" w:eastAsia="仿宋" w:cs="Times New Roman"/>
          <w:sz w:val="32"/>
          <w:szCs w:val="32"/>
        </w:rPr>
      </w:pPr>
      <w:r>
        <w:rPr>
          <w:rFonts w:ascii="Times New Roman" w:hAnsi="Times New Roman" w:eastAsia="仿宋" w:cs="Times New Roman"/>
          <w:bCs/>
          <w:sz w:val="32"/>
          <w:szCs w:val="32"/>
        </w:rPr>
        <w:t>计算公式：</w:t>
      </w:r>
      <w:r>
        <w:rPr>
          <w:rFonts w:ascii="Times New Roman" w:hAnsi="Times New Roman" w:eastAsia="仿宋" w:cs="Times New Roman"/>
          <w:sz w:val="32"/>
          <w:szCs w:val="32"/>
        </w:rPr>
        <w:t>绿色覆盖率（%）=园区内各类绿地总面积（m</w:t>
      </w:r>
      <w:r>
        <w:rPr>
          <w:rFonts w:ascii="Times New Roman" w:hAnsi="Times New Roman" w:eastAsia="仿宋" w:cs="Times New Roman"/>
          <w:sz w:val="32"/>
          <w:szCs w:val="32"/>
          <w:vertAlign w:val="superscript"/>
        </w:rPr>
        <w:t>2</w:t>
      </w:r>
      <w:r>
        <w:rPr>
          <w:rFonts w:ascii="Times New Roman" w:hAnsi="Times New Roman" w:eastAsia="仿宋" w:cs="Times New Roman"/>
          <w:sz w:val="32"/>
          <w:szCs w:val="32"/>
        </w:rPr>
        <w:t>）/园区用地总面积（m</w:t>
      </w:r>
      <w:r>
        <w:rPr>
          <w:rFonts w:ascii="Times New Roman" w:hAnsi="Times New Roman" w:eastAsia="仿宋" w:cs="Times New Roman"/>
          <w:sz w:val="32"/>
          <w:szCs w:val="32"/>
          <w:vertAlign w:val="superscript"/>
        </w:rPr>
        <w:t>2</w:t>
      </w:r>
      <w:r>
        <w:rPr>
          <w:rFonts w:ascii="Times New Roman" w:hAnsi="Times New Roman" w:eastAsia="仿宋" w:cs="Times New Roman"/>
          <w:sz w:val="32"/>
          <w:szCs w:val="32"/>
        </w:rPr>
        <w:t>）×100%。</w:t>
      </w:r>
    </w:p>
    <w:p w14:paraId="20E0F782">
      <w:pPr>
        <w:ind w:firstLine="630"/>
        <w:rPr>
          <w:rFonts w:ascii="Times New Roman" w:hAnsi="Times New Roman" w:eastAsia="楷体" w:cs="Times New Roman"/>
          <w:sz w:val="32"/>
          <w:szCs w:val="32"/>
        </w:rPr>
      </w:pPr>
      <w:r>
        <w:rPr>
          <w:rFonts w:ascii="Times New Roman" w:hAnsi="Times New Roman" w:eastAsia="楷体" w:cs="Times New Roman"/>
          <w:sz w:val="32"/>
          <w:szCs w:val="32"/>
        </w:rPr>
        <w:t>（七）道路遮荫比例（可选）</w:t>
      </w:r>
    </w:p>
    <w:p w14:paraId="55C601D7">
      <w:pPr>
        <w:ind w:firstLine="640" w:firstLineChars="200"/>
        <w:rPr>
          <w:rFonts w:ascii="Times New Roman" w:hAnsi="Times New Roman" w:eastAsia="仿宋" w:cs="Times New Roman"/>
          <w:sz w:val="32"/>
          <w:szCs w:val="32"/>
        </w:rPr>
      </w:pPr>
      <w:r>
        <w:rPr>
          <w:rFonts w:ascii="Times New Roman" w:hAnsi="Times New Roman" w:eastAsia="仿宋" w:cs="Times New Roman"/>
          <w:bCs/>
          <w:sz w:val="32"/>
          <w:szCs w:val="32"/>
        </w:rPr>
        <w:t>指标解释：</w:t>
      </w:r>
      <w:r>
        <w:rPr>
          <w:rFonts w:ascii="Times New Roman" w:hAnsi="Times New Roman" w:eastAsia="仿宋" w:cs="Times New Roman"/>
          <w:sz w:val="32"/>
          <w:szCs w:val="32"/>
        </w:rPr>
        <w:t>指道路两旁树冠垂直投影遮蔽的总阴影面积与步行道路总面积的比值。</w:t>
      </w:r>
    </w:p>
    <w:p w14:paraId="1536C213">
      <w:pPr>
        <w:ind w:firstLine="640" w:firstLineChars="200"/>
        <w:rPr>
          <w:rFonts w:ascii="Times New Roman" w:hAnsi="Times New Roman" w:eastAsia="仿宋_GB2312" w:cs="Times New Roman"/>
          <w:sz w:val="32"/>
          <w:szCs w:val="32"/>
        </w:rPr>
      </w:pPr>
      <w:r>
        <w:rPr>
          <w:rFonts w:ascii="Times New Roman" w:hAnsi="Times New Roman" w:eastAsia="仿宋" w:cs="Times New Roman"/>
          <w:bCs/>
          <w:sz w:val="32"/>
          <w:szCs w:val="32"/>
        </w:rPr>
        <w:t>计算公式：</w:t>
      </w:r>
      <w:r>
        <w:rPr>
          <w:rFonts w:ascii="Times New Roman" w:hAnsi="Times New Roman" w:eastAsia="仿宋" w:cs="Times New Roman"/>
          <w:sz w:val="32"/>
          <w:szCs w:val="32"/>
        </w:rPr>
        <w:t>道路遮荫比例（%）=道路两旁树冠垂直投影遮蔽的总阴影面积（m</w:t>
      </w:r>
      <w:r>
        <w:rPr>
          <w:rFonts w:ascii="Times New Roman" w:hAnsi="Times New Roman" w:eastAsia="仿宋" w:cs="Times New Roman"/>
          <w:sz w:val="32"/>
          <w:szCs w:val="32"/>
          <w:vertAlign w:val="superscript"/>
        </w:rPr>
        <w:t>2</w:t>
      </w:r>
      <w:r>
        <w:rPr>
          <w:rFonts w:ascii="Times New Roman" w:hAnsi="Times New Roman" w:eastAsia="仿宋" w:cs="Times New Roman"/>
          <w:sz w:val="32"/>
          <w:szCs w:val="32"/>
        </w:rPr>
        <w:t>）/步行道路总面积（m</w:t>
      </w:r>
      <w:r>
        <w:rPr>
          <w:rFonts w:ascii="Times New Roman" w:hAnsi="Times New Roman" w:eastAsia="仿宋" w:cs="Times New Roman"/>
          <w:sz w:val="32"/>
          <w:szCs w:val="32"/>
          <w:vertAlign w:val="superscript"/>
        </w:rPr>
        <w:t>2</w:t>
      </w:r>
      <w:r>
        <w:rPr>
          <w:rFonts w:ascii="Times New Roman" w:hAnsi="Times New Roman" w:eastAsia="仿宋" w:cs="Times New Roman"/>
          <w:sz w:val="32"/>
          <w:szCs w:val="32"/>
        </w:rPr>
        <w:t>）×100%。</w:t>
      </w:r>
    </w:p>
    <w:p w14:paraId="26848F8A">
      <w:pPr>
        <w:ind w:firstLine="630"/>
        <w:rPr>
          <w:rFonts w:ascii="Times New Roman" w:hAnsi="Times New Roman" w:eastAsia="楷体" w:cs="Times New Roman"/>
          <w:sz w:val="32"/>
          <w:szCs w:val="32"/>
        </w:rPr>
      </w:pPr>
      <w:r>
        <w:rPr>
          <w:rFonts w:ascii="Times New Roman" w:hAnsi="Times New Roman" w:eastAsia="楷体" w:cs="Times New Roman"/>
          <w:sz w:val="32"/>
          <w:szCs w:val="32"/>
        </w:rPr>
        <w:t>（八）露天停车场遮荫比例（可选）</w:t>
      </w:r>
    </w:p>
    <w:p w14:paraId="5EF9FDA8">
      <w:pPr>
        <w:ind w:firstLine="640" w:firstLineChars="200"/>
        <w:rPr>
          <w:rFonts w:ascii="Times New Roman" w:hAnsi="Times New Roman" w:eastAsia="仿宋" w:cs="Times New Roman"/>
          <w:sz w:val="32"/>
          <w:szCs w:val="32"/>
        </w:rPr>
      </w:pPr>
      <w:r>
        <w:rPr>
          <w:rFonts w:ascii="Times New Roman" w:hAnsi="Times New Roman" w:eastAsia="仿宋" w:cs="Times New Roman"/>
          <w:bCs/>
          <w:sz w:val="32"/>
          <w:szCs w:val="32"/>
        </w:rPr>
        <w:t>指标要求：</w:t>
      </w:r>
      <w:r>
        <w:rPr>
          <w:rFonts w:ascii="Times New Roman" w:hAnsi="Times New Roman" w:eastAsia="仿宋" w:cs="Times New Roman"/>
          <w:sz w:val="32"/>
          <w:szCs w:val="32"/>
        </w:rPr>
        <w:t>露天停车场遮阴比例应达到80%。</w:t>
      </w:r>
    </w:p>
    <w:p w14:paraId="3FCF96EA">
      <w:pPr>
        <w:ind w:firstLine="640" w:firstLineChars="200"/>
        <w:rPr>
          <w:rFonts w:ascii="Times New Roman" w:hAnsi="Times New Roman" w:eastAsia="仿宋" w:cs="Times New Roman"/>
          <w:sz w:val="32"/>
          <w:szCs w:val="32"/>
        </w:rPr>
      </w:pPr>
      <w:r>
        <w:rPr>
          <w:rFonts w:ascii="Times New Roman" w:hAnsi="Times New Roman" w:eastAsia="仿宋" w:cs="Times New Roman"/>
          <w:bCs/>
          <w:sz w:val="32"/>
          <w:szCs w:val="32"/>
        </w:rPr>
        <w:t>指标解释：</w:t>
      </w:r>
      <w:r>
        <w:rPr>
          <w:rFonts w:ascii="Times New Roman" w:hAnsi="Times New Roman" w:eastAsia="仿宋" w:cs="Times New Roman"/>
          <w:sz w:val="32"/>
          <w:szCs w:val="32"/>
        </w:rPr>
        <w:t>指露天停车场树冠垂直投影遮蔽的总阴影面积与露天停车场总面积的比值。</w:t>
      </w:r>
    </w:p>
    <w:p w14:paraId="41153310">
      <w:pPr>
        <w:ind w:firstLine="640" w:firstLineChars="200"/>
        <w:rPr>
          <w:rFonts w:ascii="Times New Roman" w:hAnsi="Times New Roman" w:eastAsia="仿宋" w:cs="Times New Roman"/>
          <w:sz w:val="32"/>
          <w:szCs w:val="32"/>
        </w:rPr>
      </w:pPr>
      <w:r>
        <w:rPr>
          <w:rFonts w:ascii="Times New Roman" w:hAnsi="Times New Roman" w:eastAsia="仿宋" w:cs="Times New Roman"/>
          <w:bCs/>
          <w:sz w:val="32"/>
          <w:szCs w:val="32"/>
        </w:rPr>
        <w:t>计算公式：</w:t>
      </w:r>
      <w:r>
        <w:rPr>
          <w:rFonts w:ascii="Times New Roman" w:hAnsi="Times New Roman" w:eastAsia="仿宋" w:cs="Times New Roman"/>
          <w:sz w:val="32"/>
          <w:szCs w:val="32"/>
        </w:rPr>
        <w:t>露天停车场遮荫比例（%）=露天停车场树冠垂直投影遮蔽的总阴影面积（m</w:t>
      </w:r>
      <w:r>
        <w:rPr>
          <w:rFonts w:ascii="Times New Roman" w:hAnsi="Times New Roman" w:eastAsia="仿宋" w:cs="Times New Roman"/>
          <w:sz w:val="32"/>
          <w:szCs w:val="32"/>
          <w:vertAlign w:val="superscript"/>
        </w:rPr>
        <w:t>2</w:t>
      </w:r>
      <w:r>
        <w:rPr>
          <w:rFonts w:ascii="Times New Roman" w:hAnsi="Times New Roman" w:eastAsia="仿宋" w:cs="Times New Roman"/>
          <w:sz w:val="32"/>
          <w:szCs w:val="32"/>
        </w:rPr>
        <w:t>）/露天停车场总面积（m</w:t>
      </w:r>
      <w:r>
        <w:rPr>
          <w:rFonts w:ascii="Times New Roman" w:hAnsi="Times New Roman" w:eastAsia="仿宋" w:cs="Times New Roman"/>
          <w:sz w:val="32"/>
          <w:szCs w:val="32"/>
          <w:vertAlign w:val="superscript"/>
        </w:rPr>
        <w:t>2</w:t>
      </w:r>
      <w:r>
        <w:rPr>
          <w:rFonts w:ascii="Times New Roman" w:hAnsi="Times New Roman" w:eastAsia="仿宋" w:cs="Times New Roman"/>
          <w:sz w:val="32"/>
          <w:szCs w:val="32"/>
        </w:rPr>
        <w:t>）</w:t>
      </w:r>
      <w:r>
        <w:rPr>
          <w:rFonts w:ascii="Times New Roman" w:hAnsi="Times New Roman" w:eastAsia="仿宋" w:cs="Times New Roman"/>
          <w:color w:val="333333"/>
          <w:sz w:val="32"/>
          <w:szCs w:val="32"/>
          <w:shd w:val="clear" w:color="auto" w:fill="FFFFFF"/>
        </w:rPr>
        <w:t>×</w:t>
      </w:r>
      <w:r>
        <w:rPr>
          <w:rFonts w:ascii="Times New Roman" w:hAnsi="Times New Roman" w:eastAsia="仿宋" w:cs="Times New Roman"/>
          <w:sz w:val="32"/>
          <w:szCs w:val="32"/>
        </w:rPr>
        <w:t>100%。</w:t>
      </w:r>
    </w:p>
    <w:p w14:paraId="3FCA241B">
      <w:pPr>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七、运行管理绿色化指标（3个必选指标）</w:t>
      </w:r>
    </w:p>
    <w:p w14:paraId="49B8AB45">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运行管理绿色化指标包括绿色工业园区标准体系完善程度、编制绿色工业园区发展规划、绿色工业园区信息平台完善程度3个必选指标。</w:t>
      </w:r>
    </w:p>
    <w:p w14:paraId="475982A7">
      <w:pPr>
        <w:ind w:firstLine="630"/>
        <w:rPr>
          <w:rFonts w:ascii="Times New Roman" w:hAnsi="Times New Roman" w:eastAsia="楷体" w:cs="Times New Roman"/>
          <w:sz w:val="32"/>
          <w:szCs w:val="32"/>
        </w:rPr>
      </w:pPr>
      <w:r>
        <w:rPr>
          <w:rFonts w:ascii="Times New Roman" w:hAnsi="Times New Roman" w:eastAsia="楷体" w:cs="Times New Roman"/>
          <w:sz w:val="32"/>
          <w:szCs w:val="32"/>
        </w:rPr>
        <w:t>（一）绿色工业园区标准体系完善程度（必选）</w:t>
      </w:r>
    </w:p>
    <w:p w14:paraId="7D4E091E">
      <w:pPr>
        <w:ind w:firstLine="640" w:firstLineChars="200"/>
        <w:rPr>
          <w:rFonts w:ascii="Times New Roman" w:hAnsi="Times New Roman" w:eastAsia="仿宋_GB2312" w:cs="Times New Roman"/>
          <w:sz w:val="32"/>
          <w:szCs w:val="32"/>
        </w:rPr>
      </w:pPr>
      <w:r>
        <w:rPr>
          <w:rFonts w:ascii="Times New Roman" w:hAnsi="Times New Roman" w:eastAsia="仿宋" w:cs="Times New Roman"/>
          <w:bCs/>
          <w:sz w:val="32"/>
          <w:szCs w:val="32"/>
        </w:rPr>
        <w:t>指标解释：</w:t>
      </w:r>
      <w:r>
        <w:rPr>
          <w:rFonts w:ascii="Times New Roman" w:hAnsi="Times New Roman" w:eastAsia="仿宋" w:cs="Times New Roman"/>
          <w:sz w:val="32"/>
          <w:szCs w:val="32"/>
        </w:rPr>
        <w:t>主要考核是否建立与其产业链和主导产业相适应的绿色工业园区标准体系，具体包括能源利用绿色化标准、资源利用绿色化标准、基础设施绿色化标准、产业绿色化标准、生态环境绿色化标准等；是否制定监管强制性绿色相关标准执行的有关制度文件；是否开展绿色相关标准的宣贯和培训等。</w:t>
      </w:r>
    </w:p>
    <w:p w14:paraId="609F481F">
      <w:pPr>
        <w:ind w:firstLine="630"/>
        <w:rPr>
          <w:rFonts w:ascii="Times New Roman" w:hAnsi="Times New Roman" w:eastAsia="楷体" w:cs="Times New Roman"/>
          <w:sz w:val="32"/>
          <w:szCs w:val="32"/>
        </w:rPr>
      </w:pPr>
      <w:r>
        <w:rPr>
          <w:rFonts w:ascii="Times New Roman" w:hAnsi="Times New Roman" w:eastAsia="楷体" w:cs="Times New Roman"/>
          <w:sz w:val="32"/>
          <w:szCs w:val="32"/>
        </w:rPr>
        <w:t>（二）编制绿色工业园区发展规划（必选）</w:t>
      </w:r>
    </w:p>
    <w:p w14:paraId="6B28041A">
      <w:pPr>
        <w:ind w:firstLine="640" w:firstLineChars="200"/>
        <w:rPr>
          <w:rFonts w:ascii="Times New Roman" w:hAnsi="Times New Roman" w:eastAsia="仿宋_GB2312" w:cs="Times New Roman"/>
          <w:sz w:val="32"/>
          <w:szCs w:val="32"/>
        </w:rPr>
      </w:pPr>
      <w:r>
        <w:rPr>
          <w:rFonts w:ascii="Times New Roman" w:hAnsi="Times New Roman" w:eastAsia="仿宋" w:cs="Times New Roman"/>
          <w:bCs/>
          <w:sz w:val="32"/>
          <w:szCs w:val="32"/>
        </w:rPr>
        <w:t>指标解释：</w:t>
      </w:r>
      <w:r>
        <w:rPr>
          <w:rFonts w:ascii="Times New Roman" w:hAnsi="Times New Roman" w:eastAsia="仿宋" w:cs="Times New Roman"/>
          <w:sz w:val="32"/>
          <w:szCs w:val="32"/>
        </w:rPr>
        <w:t>按照本实施方案的创建内容编制绿色工业园区发展规划，原则上每五年编制一次。</w:t>
      </w:r>
    </w:p>
    <w:p w14:paraId="46690106">
      <w:pPr>
        <w:ind w:firstLine="630"/>
        <w:rPr>
          <w:rFonts w:ascii="Times New Roman" w:hAnsi="Times New Roman" w:eastAsia="楷体" w:cs="Times New Roman"/>
          <w:sz w:val="32"/>
          <w:szCs w:val="32"/>
        </w:rPr>
      </w:pPr>
      <w:r>
        <w:rPr>
          <w:rFonts w:ascii="Times New Roman" w:hAnsi="Times New Roman" w:eastAsia="楷体_GB2312" w:cs="Times New Roman"/>
          <w:sz w:val="32"/>
          <w:szCs w:val="32"/>
        </w:rPr>
        <w:t>（三）</w:t>
      </w:r>
      <w:r>
        <w:rPr>
          <w:rFonts w:ascii="Times New Roman" w:hAnsi="Times New Roman" w:eastAsia="楷体" w:cs="Times New Roman"/>
          <w:sz w:val="32"/>
          <w:szCs w:val="32"/>
        </w:rPr>
        <w:t>绿色工业园区信息平台完善程度（必选）</w:t>
      </w:r>
    </w:p>
    <w:p w14:paraId="08D60865">
      <w:pPr>
        <w:ind w:firstLine="640" w:firstLineChars="200"/>
        <w:rPr>
          <w:rFonts w:ascii="Times New Roman" w:hAnsi="Times New Roman" w:eastAsia="仿宋" w:cs="Times New Roman"/>
        </w:rPr>
      </w:pPr>
      <w:r>
        <w:rPr>
          <w:rFonts w:ascii="Times New Roman" w:hAnsi="Times New Roman" w:eastAsia="仿宋" w:cs="Times New Roman"/>
          <w:bCs/>
          <w:sz w:val="32"/>
          <w:szCs w:val="32"/>
        </w:rPr>
        <w:t>指标解释：</w:t>
      </w:r>
      <w:r>
        <w:rPr>
          <w:rFonts w:ascii="Times New Roman" w:hAnsi="Times New Roman" w:eastAsia="仿宋" w:cs="Times New Roman"/>
          <w:sz w:val="32"/>
          <w:szCs w:val="32"/>
        </w:rPr>
        <w:t>主要考核是否创建局域网；是否定期在园区管委会网站、局域网或相关网站上发布绿色工业园区建设和改造信息；是否在园区局域网上有园区主导行业清洁生产技术信息（主要包括原材料选择、节水、节能、环保等方面）、废物资源化技术信息、绿色建筑技术信息、绿色交通技术信息等。</w:t>
      </w:r>
    </w:p>
    <w:sectPr>
      <w:footerReference r:id="rId5" w:type="default"/>
      <w:pgSz w:w="11906" w:h="16838"/>
      <w:pgMar w:top="1701" w:right="1587" w:bottom="1587"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EA5DAC0-E5D8-4686-88EC-B561A0870F7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64D5E006-9E68-4450-B76C-0C878ABAE8E7}"/>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embedRegular r:id="rId3" w:fontKey="{DCC846E1-7696-4146-A5CB-06388CC02083}"/>
  </w:font>
  <w:font w:name="仿宋_GB2312">
    <w:panose1 w:val="02010609060101010101"/>
    <w:charset w:val="86"/>
    <w:family w:val="modern"/>
    <w:pitch w:val="default"/>
    <w:sig w:usb0="800002BF" w:usb1="38CF7CFA" w:usb2="00000016" w:usb3="00000000" w:csb0="00040001" w:csb1="00000000"/>
    <w:embedRegular r:id="rId4" w:fontKey="{8611775A-E11E-49C0-992B-D17F88E58715}"/>
  </w:font>
  <w:font w:name="楷体">
    <w:panose1 w:val="02010609060101010101"/>
    <w:charset w:val="86"/>
    <w:family w:val="modern"/>
    <w:pitch w:val="default"/>
    <w:sig w:usb0="800002BF" w:usb1="38CF7CFA" w:usb2="00000016" w:usb3="00000000" w:csb0="00040001" w:csb1="00000000"/>
    <w:embedRegular r:id="rId5" w:fontKey="{23E4B929-8A24-4277-827F-BE9C7973BB81}"/>
  </w:font>
  <w:font w:name="仿宋">
    <w:panose1 w:val="02010609060101010101"/>
    <w:charset w:val="86"/>
    <w:family w:val="modern"/>
    <w:pitch w:val="default"/>
    <w:sig w:usb0="800002BF" w:usb1="38CF7CFA" w:usb2="00000016" w:usb3="00000000" w:csb0="00040001" w:csb1="00000000"/>
    <w:embedRegular r:id="rId6" w:fontKey="{5EDE9528-02C8-4A26-B9C8-795A12214110}"/>
  </w:font>
  <w:font w:name="Cambria Math">
    <w:panose1 w:val="02040503050406030204"/>
    <w:charset w:val="00"/>
    <w:family w:val="roman"/>
    <w:pitch w:val="default"/>
    <w:sig w:usb0="E00006FF" w:usb1="420024FF" w:usb2="02000000" w:usb3="00000000" w:csb0="2000019F" w:csb1="00000000"/>
    <w:embedRegular r:id="rId7" w:fontKey="{660EBAC8-CBF4-4FC7-B686-614C1A6AFCED}"/>
  </w:font>
  <w:font w:name="楷体_GB2312">
    <w:panose1 w:val="02010609030101010101"/>
    <w:charset w:val="86"/>
    <w:family w:val="modern"/>
    <w:pitch w:val="default"/>
    <w:sig w:usb0="00000001" w:usb1="080E0000" w:usb2="00000000" w:usb3="00000000" w:csb0="00040000" w:csb1="00000000"/>
    <w:embedRegular r:id="rId8" w:fontKey="{57F9C69A-DDB0-45C7-B839-AA2D0E04255C}"/>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6A099">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A0524F">
                          <w:pPr>
                            <w:pStyle w:val="7"/>
                            <w:rPr>
                              <w:rFonts w:ascii="Times New Roman" w:hAnsi="Times New Roman" w:cs="Times New Roman"/>
                              <w:sz w:val="21"/>
                              <w:szCs w:val="21"/>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3P1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J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v9z9dKwIAAFUEAAAOAAAAAAAAAAEAIAAAAB8BAABkcnMvZTJvRG9jLnhtbFBLBQYAAAAABgAG&#10;AFkBAAC8BQAAAAA=&#10;">
              <v:fill on="f" focussize="0,0"/>
              <v:stroke on="f" weight="0.5pt"/>
              <v:imagedata o:title=""/>
              <o:lock v:ext="edit" aspectratio="f"/>
              <v:textbox inset="0mm,0mm,0mm,0mm" style="mso-fit-shape-to-text:t;">
                <w:txbxContent>
                  <w:p w14:paraId="3FA0524F">
                    <w:pPr>
                      <w:pStyle w:val="7"/>
                      <w:rPr>
                        <w:rFonts w:ascii="Times New Roman" w:hAnsi="Times New Roman" w:cs="Times New Roman"/>
                        <w:sz w:val="21"/>
                        <w:szCs w:val="21"/>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1NmFkYjM2ZjVlNjlhYTExODFlMTExZDY5YzQ0NzkifQ=="/>
  </w:docVars>
  <w:rsids>
    <w:rsidRoot w:val="048206D0"/>
    <w:rsid w:val="002E2CAD"/>
    <w:rsid w:val="00656817"/>
    <w:rsid w:val="00894157"/>
    <w:rsid w:val="00922415"/>
    <w:rsid w:val="00A20516"/>
    <w:rsid w:val="00A87C9D"/>
    <w:rsid w:val="00B355CD"/>
    <w:rsid w:val="00B35606"/>
    <w:rsid w:val="00B463E0"/>
    <w:rsid w:val="00D175F4"/>
    <w:rsid w:val="00DD4F30"/>
    <w:rsid w:val="032B1364"/>
    <w:rsid w:val="048206D0"/>
    <w:rsid w:val="074070D9"/>
    <w:rsid w:val="07D84032"/>
    <w:rsid w:val="09FDF9E4"/>
    <w:rsid w:val="0A60366D"/>
    <w:rsid w:val="0B0541D3"/>
    <w:rsid w:val="0B1C3A38"/>
    <w:rsid w:val="0C076962"/>
    <w:rsid w:val="0C636059"/>
    <w:rsid w:val="0F8B5349"/>
    <w:rsid w:val="0FD37A7A"/>
    <w:rsid w:val="11773445"/>
    <w:rsid w:val="147A0D4D"/>
    <w:rsid w:val="1496293B"/>
    <w:rsid w:val="14C84877"/>
    <w:rsid w:val="16AB0D93"/>
    <w:rsid w:val="19456FFF"/>
    <w:rsid w:val="19C836B0"/>
    <w:rsid w:val="1B47424D"/>
    <w:rsid w:val="1CCB7DF1"/>
    <w:rsid w:val="1DAA6CCD"/>
    <w:rsid w:val="1F3C7DAD"/>
    <w:rsid w:val="21B967B4"/>
    <w:rsid w:val="23B550DA"/>
    <w:rsid w:val="2ADFEC52"/>
    <w:rsid w:val="2E9ECEED"/>
    <w:rsid w:val="2FAE4E12"/>
    <w:rsid w:val="2FB3C4D6"/>
    <w:rsid w:val="30DD30CD"/>
    <w:rsid w:val="30E6689F"/>
    <w:rsid w:val="31276A68"/>
    <w:rsid w:val="32704B72"/>
    <w:rsid w:val="36F4DDFD"/>
    <w:rsid w:val="373AA113"/>
    <w:rsid w:val="375E188C"/>
    <w:rsid w:val="3ABB2BCE"/>
    <w:rsid w:val="3B921FD3"/>
    <w:rsid w:val="3C682315"/>
    <w:rsid w:val="3DB34366"/>
    <w:rsid w:val="3DB66D2A"/>
    <w:rsid w:val="3DF775A7"/>
    <w:rsid w:val="3FFBD32F"/>
    <w:rsid w:val="41732585"/>
    <w:rsid w:val="41B55E5D"/>
    <w:rsid w:val="41CC1D83"/>
    <w:rsid w:val="42CE2C30"/>
    <w:rsid w:val="43541944"/>
    <w:rsid w:val="44CD4625"/>
    <w:rsid w:val="45D47A8E"/>
    <w:rsid w:val="47EC843E"/>
    <w:rsid w:val="47F59F66"/>
    <w:rsid w:val="4951687B"/>
    <w:rsid w:val="4CBF5AEF"/>
    <w:rsid w:val="4D151503"/>
    <w:rsid w:val="4E7BFAD8"/>
    <w:rsid w:val="4F242A1C"/>
    <w:rsid w:val="4F4B4FFB"/>
    <w:rsid w:val="546F301C"/>
    <w:rsid w:val="56DD85F3"/>
    <w:rsid w:val="57AEBA78"/>
    <w:rsid w:val="57FC262A"/>
    <w:rsid w:val="58DB9654"/>
    <w:rsid w:val="59056E93"/>
    <w:rsid w:val="59810D9E"/>
    <w:rsid w:val="5BF66209"/>
    <w:rsid w:val="5D8911C8"/>
    <w:rsid w:val="5F79FE19"/>
    <w:rsid w:val="5F7F8C6C"/>
    <w:rsid w:val="635E7967"/>
    <w:rsid w:val="641F5E4B"/>
    <w:rsid w:val="67393480"/>
    <w:rsid w:val="677E611A"/>
    <w:rsid w:val="6BBFCBBA"/>
    <w:rsid w:val="6DBC9B2F"/>
    <w:rsid w:val="6EF055FA"/>
    <w:rsid w:val="6F2848A0"/>
    <w:rsid w:val="72224F2D"/>
    <w:rsid w:val="7326A85A"/>
    <w:rsid w:val="734764DA"/>
    <w:rsid w:val="756A30EE"/>
    <w:rsid w:val="758DA529"/>
    <w:rsid w:val="75EED831"/>
    <w:rsid w:val="77615F32"/>
    <w:rsid w:val="77CF43D9"/>
    <w:rsid w:val="77D45B61"/>
    <w:rsid w:val="78002119"/>
    <w:rsid w:val="7857132C"/>
    <w:rsid w:val="78AFCAE2"/>
    <w:rsid w:val="79130D4C"/>
    <w:rsid w:val="797A042B"/>
    <w:rsid w:val="79FF99B4"/>
    <w:rsid w:val="7AB41F05"/>
    <w:rsid w:val="7AB7ABF1"/>
    <w:rsid w:val="7BF75552"/>
    <w:rsid w:val="7CFFA207"/>
    <w:rsid w:val="7D156AB6"/>
    <w:rsid w:val="7D79A99F"/>
    <w:rsid w:val="7DB56593"/>
    <w:rsid w:val="7DFB449B"/>
    <w:rsid w:val="7EFEA330"/>
    <w:rsid w:val="7F3DBACA"/>
    <w:rsid w:val="7F536244"/>
    <w:rsid w:val="7F6F2B4E"/>
    <w:rsid w:val="7F6F6AB4"/>
    <w:rsid w:val="7FD20F59"/>
    <w:rsid w:val="7FD3CA3A"/>
    <w:rsid w:val="7FDE5079"/>
    <w:rsid w:val="7FEC09F4"/>
    <w:rsid w:val="7FED8542"/>
    <w:rsid w:val="7FF7570B"/>
    <w:rsid w:val="7FFF536C"/>
    <w:rsid w:val="977B07B2"/>
    <w:rsid w:val="9F390D99"/>
    <w:rsid w:val="9F3F5097"/>
    <w:rsid w:val="B77F3157"/>
    <w:rsid w:val="B7F76331"/>
    <w:rsid w:val="B9DFE71A"/>
    <w:rsid w:val="BBFD2202"/>
    <w:rsid w:val="BCFCB901"/>
    <w:rsid w:val="BF7D695E"/>
    <w:rsid w:val="BF8733BA"/>
    <w:rsid w:val="BF9F656B"/>
    <w:rsid w:val="BFDDD732"/>
    <w:rsid w:val="BFEB0C01"/>
    <w:rsid w:val="C5ED9BA5"/>
    <w:rsid w:val="C7F94806"/>
    <w:rsid w:val="D3FE5AA1"/>
    <w:rsid w:val="D5CFD378"/>
    <w:rsid w:val="D8FE2EC9"/>
    <w:rsid w:val="DB4DA0F3"/>
    <w:rsid w:val="DEA832AC"/>
    <w:rsid w:val="DEBC01F0"/>
    <w:rsid w:val="DF776388"/>
    <w:rsid w:val="DFBA756F"/>
    <w:rsid w:val="DFBCD8D7"/>
    <w:rsid w:val="DFFBE120"/>
    <w:rsid w:val="E27B61FD"/>
    <w:rsid w:val="E3B4CBE3"/>
    <w:rsid w:val="E977DDA9"/>
    <w:rsid w:val="ECDF1879"/>
    <w:rsid w:val="EFFD227A"/>
    <w:rsid w:val="F07589AE"/>
    <w:rsid w:val="F3BD88C6"/>
    <w:rsid w:val="F47F1B27"/>
    <w:rsid w:val="F75ABC8E"/>
    <w:rsid w:val="F75E7FF3"/>
    <w:rsid w:val="FA177397"/>
    <w:rsid w:val="FAF70C33"/>
    <w:rsid w:val="FBC9F6AF"/>
    <w:rsid w:val="FBF7176A"/>
    <w:rsid w:val="FBFBE067"/>
    <w:rsid w:val="FD6F8147"/>
    <w:rsid w:val="FD7D0F25"/>
    <w:rsid w:val="FDBF3A85"/>
    <w:rsid w:val="FFFDBE21"/>
    <w:rsid w:val="FFFFB62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autoSpaceDN/>
      <w:snapToGrid/>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0"/>
    <w:pPr>
      <w:spacing w:after="120"/>
    </w:pPr>
  </w:style>
  <w:style w:type="paragraph" w:styleId="5">
    <w:name w:val="Title"/>
    <w:basedOn w:val="1"/>
    <w:next w:val="1"/>
    <w:qFormat/>
    <w:uiPriority w:val="10"/>
    <w:pPr>
      <w:spacing w:before="240" w:after="60"/>
      <w:jc w:val="center"/>
    </w:pPr>
    <w:rPr>
      <w:rFonts w:eastAsia="方正小标宋简体"/>
      <w:bCs/>
      <w:sz w:val="44"/>
      <w:szCs w:val="32"/>
    </w:rPr>
  </w:style>
  <w:style w:type="paragraph" w:styleId="6">
    <w:name w:val="Body Text Indent"/>
    <w:basedOn w:val="1"/>
    <w:qFormat/>
    <w:uiPriority w:val="99"/>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10">
    <w:name w:val="Normal (Web)"/>
    <w:basedOn w:val="1"/>
    <w:qFormat/>
    <w:uiPriority w:val="0"/>
    <w:pPr>
      <w:spacing w:before="100" w:beforeAutospacing="1" w:after="100" w:afterAutospacing="1"/>
      <w:jc w:val="left"/>
    </w:pPr>
    <w:rPr>
      <w:rFonts w:cs="Times New Roman"/>
      <w:kern w:val="0"/>
      <w:sz w:val="24"/>
    </w:rPr>
  </w:style>
  <w:style w:type="table" w:styleId="12">
    <w:name w:val="Table Grid"/>
    <w:basedOn w:val="1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styleId="15">
    <w:name w:val="FollowedHyperlink"/>
    <w:basedOn w:val="13"/>
    <w:qFormat/>
    <w:uiPriority w:val="0"/>
    <w:rPr>
      <w:color w:val="800080"/>
      <w:u w:val="single"/>
    </w:rPr>
  </w:style>
  <w:style w:type="character" w:styleId="16">
    <w:name w:val="Hyperlink"/>
    <w:basedOn w:val="13"/>
    <w:qFormat/>
    <w:uiPriority w:val="0"/>
    <w:rPr>
      <w:color w:val="0000FF"/>
      <w:u w:val="single"/>
    </w:rPr>
  </w:style>
  <w:style w:type="paragraph" w:customStyle="1" w:styleId="17">
    <w:name w:val="列出段落1"/>
    <w:basedOn w:val="1"/>
    <w:qFormat/>
    <w:uiPriority w:val="34"/>
    <w:pPr>
      <w:ind w:firstLine="420" w:firstLineChars="200"/>
    </w:pPr>
  </w:style>
  <w:style w:type="paragraph" w:customStyle="1" w:styleId="18">
    <w:name w:val="列出段落4"/>
    <w:basedOn w:val="1"/>
    <w:qFormat/>
    <w:uiPriority w:val="34"/>
    <w:pPr>
      <w:ind w:firstLine="420" w:firstLineChars="200"/>
    </w:pPr>
  </w:style>
  <w:style w:type="paragraph" w:customStyle="1" w:styleId="19">
    <w:name w:val="TOC 标题1"/>
    <w:basedOn w:val="2"/>
    <w:next w:val="1"/>
    <w:qFormat/>
    <w:uiPriority w:val="99"/>
    <w:pPr>
      <w:widowControl/>
      <w:spacing w:before="240" w:line="259" w:lineRule="auto"/>
      <w:outlineLvl w:val="9"/>
    </w:pPr>
    <w:rPr>
      <w:rFonts w:ascii="Cambria" w:hAnsi="Cambria"/>
      <w:b w:val="0"/>
      <w:color w:val="365F91"/>
      <w:kern w:val="0"/>
      <w:sz w:val="32"/>
      <w:szCs w:val="32"/>
    </w:rPr>
  </w:style>
  <w:style w:type="paragraph" w:customStyle="1" w:styleId="20">
    <w:name w:val="列表段落1"/>
    <w:basedOn w:val="1"/>
    <w:qFormat/>
    <w:uiPriority w:val="34"/>
    <w:pPr>
      <w:widowControl/>
      <w:spacing w:before="100" w:beforeAutospacing="1" w:after="100" w:afterAutospacing="1"/>
      <w:jc w:val="left"/>
    </w:pPr>
    <w:rPr>
      <w:rFonts w:ascii="宋体" w:hAnsi="宋体" w:cs="宋体"/>
      <w:kern w:val="0"/>
      <w:sz w:val="24"/>
    </w:rPr>
  </w:style>
  <w:style w:type="character" w:styleId="21">
    <w:name w:val="Placeholder Text"/>
    <w:basedOn w:val="13"/>
    <w:unhideWhenUsed/>
    <w:qFormat/>
    <w:uiPriority w:val="99"/>
    <w:rPr>
      <w:color w:val="666666"/>
    </w:rPr>
  </w:style>
  <w:style w:type="paragraph" w:customStyle="1" w:styleId="22">
    <w:name w:val="段"/>
    <w:qFormat/>
    <w:uiPriority w:val="0"/>
    <w:pPr>
      <w:tabs>
        <w:tab w:val="center" w:pos="4201"/>
        <w:tab w:val="right" w:leader="dot" w:pos="9298"/>
      </w:tabs>
      <w:autoSpaceDE w:val="0"/>
      <w:autoSpaceDN w:val="0"/>
      <w:snapToGrid/>
      <w:ind w:firstLine="420" w:firstLineChars="200"/>
      <w:jc w:val="both"/>
    </w:pPr>
    <w:rPr>
      <w:rFonts w:ascii="宋体" w:hAnsi="Times New Roman" w:eastAsia="宋体" w:cs="Times New Roman"/>
      <w:kern w:val="2"/>
      <w:sz w:val="21"/>
      <w:szCs w:val="22"/>
      <w:lang w:val="en-US" w:eastAsia="zh-CN" w:bidi="ar-SA"/>
    </w:rPr>
  </w:style>
  <w:style w:type="paragraph" w:customStyle="1" w:styleId="23">
    <w:name w:val="正文2"/>
    <w:basedOn w:val="1"/>
    <w:next w:val="1"/>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15</Pages>
  <Words>1210</Words>
  <Characters>1311</Characters>
  <TotalTime>0</TotalTime>
  <ScaleCrop>false</ScaleCrop>
  <LinksUpToDate>false</LinksUpToDate>
  <CharactersWithSpaces>1312</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2024-12-27T10:31:00Z</dcterms:created>
  <dc:creator>20901</dc:creator>
  <cp:lastModifiedBy>dieuhrb</cp:lastModifiedBy>
  <dcterms:modified xsi:type="dcterms:W3CDTF">2024-12-30T06:15:16Z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DE0793CA603C4737B261FFEED8726BC4_12</vt:lpwstr>
  </property>
</Properties>
</file>